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6BB24" w14:textId="1F3DFF49" w:rsidR="00214303" w:rsidRPr="0041033A" w:rsidRDefault="00214303" w:rsidP="00F159AB">
      <w:pPr>
        <w:jc w:val="center"/>
        <w:rPr>
          <w:rFonts w:ascii="Arial" w:eastAsia="Arial" w:hAnsi="Arial" w:cs="Arial"/>
          <w:b/>
          <w:sz w:val="48"/>
          <w:szCs w:val="48"/>
        </w:rPr>
      </w:pPr>
      <w:r w:rsidRPr="0041033A">
        <w:rPr>
          <w:rFonts w:ascii="Arial" w:eastAsia="Arial" w:hAnsi="Arial" w:cs="Arial"/>
          <w:b/>
          <w:sz w:val="48"/>
          <w:szCs w:val="48"/>
        </w:rPr>
        <w:t>S</w:t>
      </w:r>
      <w:r w:rsidR="0041033A" w:rsidRPr="0041033A">
        <w:rPr>
          <w:rFonts w:ascii="Arial" w:eastAsia="Arial" w:hAnsi="Arial" w:cs="Arial"/>
          <w:b/>
          <w:sz w:val="48"/>
          <w:szCs w:val="48"/>
        </w:rPr>
        <w:t>TARTING AND ENDING A TENANCY</w:t>
      </w:r>
    </w:p>
    <w:p w14:paraId="72E60501" w14:textId="127B70C4" w:rsidR="00214303" w:rsidRPr="0041033A" w:rsidRDefault="00214303" w:rsidP="00E82D68">
      <w:pPr>
        <w:jc w:val="center"/>
        <w:rPr>
          <w:sz w:val="52"/>
          <w:szCs w:val="52"/>
        </w:rPr>
      </w:pPr>
      <w:r w:rsidRPr="0041033A">
        <w:rPr>
          <w:rFonts w:ascii="Arial" w:eastAsia="Arial" w:hAnsi="Arial" w:cs="Arial"/>
          <w:b/>
          <w:sz w:val="52"/>
          <w:szCs w:val="52"/>
        </w:rPr>
        <w:t xml:space="preserve">Guidance and </w:t>
      </w:r>
      <w:r w:rsidR="007245AC">
        <w:rPr>
          <w:rFonts w:ascii="Arial" w:eastAsia="Arial" w:hAnsi="Arial" w:cs="Arial"/>
          <w:b/>
          <w:sz w:val="52"/>
          <w:szCs w:val="52"/>
        </w:rPr>
        <w:t>P</w:t>
      </w:r>
      <w:r w:rsidRPr="0041033A">
        <w:rPr>
          <w:rFonts w:ascii="Arial" w:eastAsia="Arial" w:hAnsi="Arial" w:cs="Arial"/>
          <w:b/>
          <w:sz w:val="52"/>
          <w:szCs w:val="52"/>
        </w:rPr>
        <w:t>rocedure</w:t>
      </w:r>
    </w:p>
    <w:p w14:paraId="21A7D28A" w14:textId="77777777" w:rsidR="0041033A" w:rsidRDefault="0041033A" w:rsidP="00AD0982">
      <w:pPr>
        <w:jc w:val="center"/>
        <w:rPr>
          <w:rFonts w:ascii="Arial" w:eastAsia="Arial" w:hAnsi="Arial" w:cs="Arial"/>
          <w:sz w:val="40"/>
          <w:szCs w:val="40"/>
        </w:rPr>
      </w:pPr>
    </w:p>
    <w:p w14:paraId="239C4116" w14:textId="598BDD97" w:rsidR="00214303" w:rsidRDefault="0041033A" w:rsidP="0041033A">
      <w:pPr>
        <w:jc w:val="center"/>
        <w:rPr>
          <w:rFonts w:ascii="Arial" w:eastAsia="Arial" w:hAnsi="Arial" w:cs="Arial"/>
          <w:sz w:val="40"/>
          <w:szCs w:val="40"/>
        </w:rPr>
      </w:pPr>
      <w:r>
        <w:rPr>
          <w:rFonts w:ascii="Arial" w:eastAsia="Arial" w:hAnsi="Arial" w:cs="Arial"/>
          <w:sz w:val="40"/>
          <w:szCs w:val="40"/>
        </w:rPr>
        <w:t>London Borough of Camden</w:t>
      </w:r>
    </w:p>
    <w:p w14:paraId="3C79AA8E" w14:textId="3E56881F" w:rsidR="00214303" w:rsidRDefault="006A46D7" w:rsidP="00AD0982">
      <w:pPr>
        <w:jc w:val="center"/>
        <w:rPr>
          <w:rFonts w:ascii="Arial" w:eastAsia="Arial" w:hAnsi="Arial" w:cs="Arial"/>
          <w:sz w:val="40"/>
          <w:szCs w:val="40"/>
        </w:rPr>
      </w:pPr>
      <w:r>
        <w:rPr>
          <w:rFonts w:ascii="Arial" w:eastAsia="Arial" w:hAnsi="Arial" w:cs="Arial"/>
          <w:sz w:val="40"/>
          <w:szCs w:val="40"/>
        </w:rPr>
        <w:t>Adults and Health</w:t>
      </w:r>
      <w:r w:rsidR="0041033A">
        <w:rPr>
          <w:rFonts w:ascii="Arial" w:eastAsia="Arial" w:hAnsi="Arial" w:cs="Arial"/>
          <w:sz w:val="40"/>
          <w:szCs w:val="40"/>
        </w:rPr>
        <w:t xml:space="preserve"> Directorate</w:t>
      </w:r>
    </w:p>
    <w:p w14:paraId="2290E0F4" w14:textId="77777777" w:rsidR="00214303" w:rsidRPr="00DA4323" w:rsidRDefault="00214303" w:rsidP="00AD0982">
      <w:pPr>
        <w:tabs>
          <w:tab w:val="left" w:pos="10035"/>
        </w:tabs>
        <w:jc w:val="center"/>
        <w:rPr>
          <w:rFonts w:ascii="Arial" w:eastAsia="Arial" w:hAnsi="Arial" w:cs="Arial"/>
          <w:sz w:val="40"/>
          <w:szCs w:val="40"/>
        </w:rPr>
      </w:pPr>
    </w:p>
    <w:p w14:paraId="2B12C28A" w14:textId="38A9EDFC" w:rsidR="00214303" w:rsidRDefault="00A24571" w:rsidP="00AD0982">
      <w:pPr>
        <w:pStyle w:val="BodyText"/>
        <w:tabs>
          <w:tab w:val="left" w:pos="547"/>
        </w:tabs>
        <w:ind w:right="118" w:hanging="1200"/>
        <w:jc w:val="center"/>
        <w:rPr>
          <w:rFonts w:cs="Arial"/>
          <w:sz w:val="40"/>
          <w:szCs w:val="40"/>
        </w:rPr>
      </w:pPr>
      <w:r>
        <w:rPr>
          <w:rFonts w:cs="Arial"/>
          <w:sz w:val="40"/>
          <w:szCs w:val="40"/>
        </w:rPr>
        <w:t xml:space="preserve">Version </w:t>
      </w:r>
      <w:r w:rsidR="00DC4418">
        <w:rPr>
          <w:rFonts w:cs="Arial"/>
          <w:sz w:val="40"/>
          <w:szCs w:val="40"/>
        </w:rPr>
        <w:t>7</w:t>
      </w:r>
      <w:r w:rsidR="00214303" w:rsidRPr="1551B372">
        <w:rPr>
          <w:rFonts w:cs="Arial"/>
          <w:sz w:val="40"/>
          <w:szCs w:val="40"/>
        </w:rPr>
        <w:t xml:space="preserve"> –</w:t>
      </w:r>
      <w:r w:rsidR="001D5DF4">
        <w:rPr>
          <w:rFonts w:cs="Arial"/>
          <w:sz w:val="40"/>
          <w:szCs w:val="40"/>
        </w:rPr>
        <w:t xml:space="preserve"> </w:t>
      </w:r>
      <w:r w:rsidR="007759B5">
        <w:rPr>
          <w:rFonts w:cs="Arial"/>
          <w:sz w:val="40"/>
          <w:szCs w:val="40"/>
        </w:rPr>
        <w:t>November 2024</w:t>
      </w:r>
    </w:p>
    <w:p w14:paraId="09BDF011" w14:textId="77777777" w:rsidR="00214303" w:rsidRDefault="00214303" w:rsidP="00A4399C">
      <w:pPr>
        <w:pStyle w:val="BodyText"/>
        <w:tabs>
          <w:tab w:val="left" w:pos="547"/>
        </w:tabs>
        <w:ind w:left="0" w:right="118" w:firstLine="0"/>
        <w:jc w:val="both"/>
        <w:rPr>
          <w:rFonts w:cs="Arial"/>
          <w:sz w:val="40"/>
          <w:szCs w:val="4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793"/>
        <w:gridCol w:w="1141"/>
        <w:gridCol w:w="4507"/>
      </w:tblGrid>
      <w:tr w:rsidR="00214303" w:rsidRPr="0096116F" w14:paraId="647C2DE2" w14:textId="77777777" w:rsidTr="0041033A">
        <w:trPr>
          <w:trHeight w:val="482"/>
          <w:jc w:val="center"/>
        </w:trPr>
        <w:tc>
          <w:tcPr>
            <w:tcW w:w="1023" w:type="dxa"/>
            <w:shd w:val="clear" w:color="auto" w:fill="D9D9D9" w:themeFill="background1" w:themeFillShade="D9"/>
            <w:vAlign w:val="bottom"/>
          </w:tcPr>
          <w:p w14:paraId="56AF7E09" w14:textId="77777777" w:rsidR="00214303" w:rsidRPr="00DA153D" w:rsidRDefault="00214303" w:rsidP="00A4399C">
            <w:pPr>
              <w:jc w:val="both"/>
              <w:rPr>
                <w:rFonts w:ascii="Arial" w:eastAsia="Arial,Calibri" w:hAnsi="Arial" w:cs="Arial"/>
                <w:b/>
                <w:color w:val="000000" w:themeColor="text1"/>
              </w:rPr>
            </w:pPr>
            <w:r w:rsidRPr="00DA153D">
              <w:rPr>
                <w:rFonts w:ascii="Arial" w:eastAsia="Arial,Calibri" w:hAnsi="Arial" w:cs="Arial"/>
                <w:b/>
                <w:color w:val="000000" w:themeColor="text1"/>
              </w:rPr>
              <w:t>Version</w:t>
            </w:r>
          </w:p>
        </w:tc>
        <w:tc>
          <w:tcPr>
            <w:tcW w:w="2793" w:type="dxa"/>
            <w:shd w:val="clear" w:color="auto" w:fill="D9D9D9" w:themeFill="background1" w:themeFillShade="D9"/>
            <w:vAlign w:val="bottom"/>
          </w:tcPr>
          <w:p w14:paraId="25831283" w14:textId="77777777" w:rsidR="00214303" w:rsidRPr="00DA153D" w:rsidRDefault="00214303" w:rsidP="00A4399C">
            <w:pPr>
              <w:jc w:val="both"/>
              <w:rPr>
                <w:rFonts w:ascii="Arial" w:eastAsia="Arial,Calibri" w:hAnsi="Arial" w:cs="Arial"/>
                <w:b/>
                <w:color w:val="000000" w:themeColor="text1"/>
              </w:rPr>
            </w:pPr>
            <w:r w:rsidRPr="00DA153D">
              <w:rPr>
                <w:rFonts w:ascii="Arial" w:eastAsia="Arial,Calibri" w:hAnsi="Arial" w:cs="Arial"/>
                <w:b/>
                <w:color w:val="000000" w:themeColor="text1"/>
              </w:rPr>
              <w:t>Author</w:t>
            </w:r>
          </w:p>
        </w:tc>
        <w:tc>
          <w:tcPr>
            <w:tcW w:w="1141" w:type="dxa"/>
            <w:shd w:val="clear" w:color="auto" w:fill="D9D9D9" w:themeFill="background1" w:themeFillShade="D9"/>
            <w:vAlign w:val="bottom"/>
          </w:tcPr>
          <w:p w14:paraId="3069ED01" w14:textId="77777777" w:rsidR="00214303" w:rsidRPr="00DA153D" w:rsidRDefault="00214303" w:rsidP="00A4399C">
            <w:pPr>
              <w:jc w:val="both"/>
              <w:rPr>
                <w:rFonts w:ascii="Arial" w:eastAsia="Arial,Calibri" w:hAnsi="Arial" w:cs="Arial"/>
                <w:b/>
                <w:color w:val="000000" w:themeColor="text1"/>
              </w:rPr>
            </w:pPr>
            <w:r w:rsidRPr="00DA153D">
              <w:rPr>
                <w:rFonts w:ascii="Arial" w:eastAsia="Arial,Calibri" w:hAnsi="Arial" w:cs="Arial"/>
                <w:b/>
                <w:color w:val="000000" w:themeColor="text1"/>
              </w:rPr>
              <w:t>Date</w:t>
            </w:r>
          </w:p>
        </w:tc>
        <w:tc>
          <w:tcPr>
            <w:tcW w:w="4507" w:type="dxa"/>
            <w:shd w:val="clear" w:color="auto" w:fill="D9D9D9" w:themeFill="background1" w:themeFillShade="D9"/>
            <w:vAlign w:val="bottom"/>
          </w:tcPr>
          <w:p w14:paraId="6AB608CA" w14:textId="77777777" w:rsidR="00214303" w:rsidRPr="00DA153D" w:rsidRDefault="00214303" w:rsidP="00A4399C">
            <w:pPr>
              <w:jc w:val="both"/>
              <w:rPr>
                <w:rFonts w:ascii="Arial" w:eastAsia="Arial,Calibri" w:hAnsi="Arial" w:cs="Arial"/>
                <w:b/>
                <w:color w:val="000000" w:themeColor="text1"/>
              </w:rPr>
            </w:pPr>
            <w:r w:rsidRPr="00DA153D">
              <w:rPr>
                <w:rFonts w:ascii="Arial" w:eastAsia="Arial,Calibri" w:hAnsi="Arial" w:cs="Arial"/>
                <w:b/>
                <w:color w:val="000000" w:themeColor="text1"/>
              </w:rPr>
              <w:t>Comment</w:t>
            </w:r>
          </w:p>
        </w:tc>
      </w:tr>
      <w:tr w:rsidR="00214303" w:rsidRPr="0096116F" w14:paraId="49595C93" w14:textId="77777777" w:rsidTr="0041033A">
        <w:trPr>
          <w:trHeight w:val="560"/>
          <w:jc w:val="center"/>
        </w:trPr>
        <w:tc>
          <w:tcPr>
            <w:tcW w:w="1023" w:type="dxa"/>
            <w:shd w:val="clear" w:color="auto" w:fill="auto"/>
            <w:vAlign w:val="center"/>
          </w:tcPr>
          <w:p w14:paraId="0AF924A6" w14:textId="77777777" w:rsidR="00214303" w:rsidRPr="004529A7" w:rsidRDefault="00214303" w:rsidP="00A4399C">
            <w:pPr>
              <w:jc w:val="both"/>
              <w:rPr>
                <w:rFonts w:ascii="Arial" w:eastAsia="Arial,Calibri" w:hAnsi="Arial" w:cs="Arial"/>
                <w:color w:val="000000" w:themeColor="text1"/>
              </w:rPr>
            </w:pPr>
            <w:r w:rsidRPr="004529A7">
              <w:rPr>
                <w:rFonts w:ascii="Arial" w:eastAsia="Arial,Calibri" w:hAnsi="Arial" w:cs="Arial"/>
                <w:color w:val="000000" w:themeColor="text1"/>
              </w:rPr>
              <w:t>1</w:t>
            </w:r>
          </w:p>
        </w:tc>
        <w:tc>
          <w:tcPr>
            <w:tcW w:w="2793" w:type="dxa"/>
            <w:shd w:val="clear" w:color="auto" w:fill="auto"/>
            <w:vAlign w:val="center"/>
          </w:tcPr>
          <w:p w14:paraId="12FFBD37" w14:textId="77777777" w:rsidR="00214303" w:rsidRPr="004529A7" w:rsidRDefault="00214303" w:rsidP="008C7A0E">
            <w:pPr>
              <w:rPr>
                <w:rFonts w:ascii="Arial" w:eastAsia="Arial,Calibri" w:hAnsi="Arial" w:cs="Arial"/>
                <w:color w:val="000000" w:themeColor="text1"/>
              </w:rPr>
            </w:pPr>
            <w:r>
              <w:rPr>
                <w:rFonts w:ascii="Arial" w:eastAsia="Arial,Calibri" w:hAnsi="Arial" w:cs="Arial"/>
                <w:color w:val="000000" w:themeColor="text1"/>
              </w:rPr>
              <w:t>Sadia Iqbal</w:t>
            </w:r>
          </w:p>
        </w:tc>
        <w:tc>
          <w:tcPr>
            <w:tcW w:w="1141" w:type="dxa"/>
            <w:shd w:val="clear" w:color="auto" w:fill="auto"/>
            <w:vAlign w:val="center"/>
          </w:tcPr>
          <w:p w14:paraId="780A9056" w14:textId="77777777" w:rsidR="00214303" w:rsidRPr="004529A7" w:rsidRDefault="00214303" w:rsidP="00A4399C">
            <w:pPr>
              <w:jc w:val="both"/>
              <w:rPr>
                <w:rFonts w:ascii="Arial" w:eastAsia="Arial,Calibri" w:hAnsi="Arial" w:cs="Arial"/>
                <w:color w:val="000000" w:themeColor="text1"/>
              </w:rPr>
            </w:pPr>
            <w:r>
              <w:rPr>
                <w:rFonts w:ascii="Arial" w:eastAsia="Arial,Calibri" w:hAnsi="Arial" w:cs="Arial"/>
                <w:color w:val="000000" w:themeColor="text1"/>
              </w:rPr>
              <w:t>21/09/17</w:t>
            </w:r>
          </w:p>
        </w:tc>
        <w:tc>
          <w:tcPr>
            <w:tcW w:w="4507" w:type="dxa"/>
            <w:shd w:val="clear" w:color="auto" w:fill="auto"/>
            <w:vAlign w:val="center"/>
          </w:tcPr>
          <w:p w14:paraId="48503DA2" w14:textId="77777777" w:rsidR="00214303" w:rsidRPr="000409FE" w:rsidRDefault="00214303" w:rsidP="00A4399C">
            <w:pPr>
              <w:jc w:val="both"/>
              <w:rPr>
                <w:rFonts w:ascii="Arial" w:eastAsia="Arial,Calibri" w:hAnsi="Arial" w:cs="Arial"/>
                <w:color w:val="000000" w:themeColor="text1"/>
              </w:rPr>
            </w:pPr>
          </w:p>
        </w:tc>
      </w:tr>
      <w:tr w:rsidR="00214303" w:rsidRPr="0096116F" w14:paraId="231B064B" w14:textId="77777777" w:rsidTr="0041033A">
        <w:trPr>
          <w:trHeight w:val="560"/>
          <w:jc w:val="center"/>
        </w:trPr>
        <w:tc>
          <w:tcPr>
            <w:tcW w:w="1023" w:type="dxa"/>
            <w:shd w:val="clear" w:color="auto" w:fill="auto"/>
            <w:vAlign w:val="center"/>
          </w:tcPr>
          <w:p w14:paraId="04413C63" w14:textId="77777777" w:rsidR="00214303" w:rsidRPr="00530168" w:rsidRDefault="007D5A3C" w:rsidP="00A4399C">
            <w:pPr>
              <w:jc w:val="both"/>
              <w:rPr>
                <w:rFonts w:ascii="Arial" w:eastAsia="Calibri" w:hAnsi="Arial" w:cs="Arial"/>
                <w:color w:val="000000"/>
                <w:szCs w:val="24"/>
              </w:rPr>
            </w:pPr>
            <w:r>
              <w:rPr>
                <w:rFonts w:ascii="Arial" w:eastAsia="Calibri" w:hAnsi="Arial" w:cs="Arial"/>
                <w:color w:val="000000"/>
                <w:szCs w:val="24"/>
              </w:rPr>
              <w:t>2</w:t>
            </w:r>
          </w:p>
        </w:tc>
        <w:tc>
          <w:tcPr>
            <w:tcW w:w="2793" w:type="dxa"/>
            <w:shd w:val="clear" w:color="auto" w:fill="auto"/>
            <w:vAlign w:val="center"/>
          </w:tcPr>
          <w:p w14:paraId="55B6524B" w14:textId="77777777" w:rsidR="00214303" w:rsidRPr="00530168" w:rsidRDefault="007D5A3C" w:rsidP="008C7A0E">
            <w:pPr>
              <w:rPr>
                <w:rFonts w:ascii="Arial" w:eastAsia="Calibri" w:hAnsi="Arial" w:cs="Arial"/>
                <w:color w:val="000000"/>
                <w:szCs w:val="24"/>
              </w:rPr>
            </w:pPr>
            <w:r>
              <w:rPr>
                <w:rFonts w:ascii="Arial" w:eastAsia="Calibri" w:hAnsi="Arial" w:cs="Arial"/>
                <w:color w:val="000000"/>
                <w:szCs w:val="24"/>
              </w:rPr>
              <w:t xml:space="preserve">Sadia Iqbal </w:t>
            </w:r>
          </w:p>
        </w:tc>
        <w:tc>
          <w:tcPr>
            <w:tcW w:w="1141" w:type="dxa"/>
            <w:shd w:val="clear" w:color="auto" w:fill="auto"/>
            <w:vAlign w:val="center"/>
          </w:tcPr>
          <w:p w14:paraId="4E7FE727" w14:textId="77777777" w:rsidR="00214303" w:rsidRPr="00530168" w:rsidRDefault="005B5380" w:rsidP="00A4399C">
            <w:pPr>
              <w:jc w:val="both"/>
              <w:rPr>
                <w:rFonts w:ascii="Arial" w:eastAsia="Calibri" w:hAnsi="Arial" w:cs="Arial"/>
                <w:color w:val="000000"/>
                <w:szCs w:val="24"/>
              </w:rPr>
            </w:pPr>
            <w:r>
              <w:rPr>
                <w:rFonts w:ascii="Arial" w:eastAsia="Calibri" w:hAnsi="Arial" w:cs="Arial"/>
                <w:color w:val="000000"/>
                <w:szCs w:val="24"/>
              </w:rPr>
              <w:t>18/12</w:t>
            </w:r>
            <w:r w:rsidR="007D5A3C">
              <w:rPr>
                <w:rFonts w:ascii="Arial" w:eastAsia="Calibri" w:hAnsi="Arial" w:cs="Arial"/>
                <w:color w:val="000000"/>
                <w:szCs w:val="24"/>
              </w:rPr>
              <w:t>/17</w:t>
            </w:r>
          </w:p>
        </w:tc>
        <w:tc>
          <w:tcPr>
            <w:tcW w:w="4507" w:type="dxa"/>
            <w:shd w:val="clear" w:color="auto" w:fill="auto"/>
            <w:vAlign w:val="center"/>
          </w:tcPr>
          <w:p w14:paraId="1BD3B031" w14:textId="77777777" w:rsidR="00214303" w:rsidRPr="00530168" w:rsidRDefault="00214303" w:rsidP="00A4399C">
            <w:pPr>
              <w:jc w:val="both"/>
              <w:rPr>
                <w:rFonts w:ascii="Arial" w:eastAsia="Calibri" w:hAnsi="Arial" w:cs="Arial"/>
                <w:color w:val="000000"/>
                <w:szCs w:val="24"/>
              </w:rPr>
            </w:pPr>
          </w:p>
        </w:tc>
      </w:tr>
      <w:tr w:rsidR="00214303" w:rsidRPr="0096116F" w14:paraId="11D93086" w14:textId="77777777" w:rsidTr="0041033A">
        <w:trPr>
          <w:trHeight w:val="560"/>
          <w:jc w:val="center"/>
        </w:trPr>
        <w:tc>
          <w:tcPr>
            <w:tcW w:w="1023" w:type="dxa"/>
            <w:shd w:val="clear" w:color="auto" w:fill="auto"/>
            <w:vAlign w:val="center"/>
          </w:tcPr>
          <w:p w14:paraId="5ECD3174" w14:textId="77777777" w:rsidR="00214303" w:rsidRPr="00530168" w:rsidRDefault="005D5A5F" w:rsidP="00A4399C">
            <w:pPr>
              <w:jc w:val="both"/>
              <w:rPr>
                <w:rFonts w:ascii="Arial" w:eastAsia="Calibri" w:hAnsi="Arial" w:cs="Arial"/>
                <w:color w:val="000000"/>
                <w:szCs w:val="24"/>
              </w:rPr>
            </w:pPr>
            <w:r>
              <w:rPr>
                <w:rFonts w:ascii="Arial" w:eastAsia="Calibri" w:hAnsi="Arial" w:cs="Arial"/>
                <w:color w:val="000000"/>
                <w:szCs w:val="24"/>
              </w:rPr>
              <w:t>3</w:t>
            </w:r>
          </w:p>
        </w:tc>
        <w:tc>
          <w:tcPr>
            <w:tcW w:w="2793" w:type="dxa"/>
            <w:shd w:val="clear" w:color="auto" w:fill="auto"/>
            <w:vAlign w:val="center"/>
          </w:tcPr>
          <w:p w14:paraId="00EF108D" w14:textId="77777777" w:rsidR="00214303" w:rsidRPr="00530168" w:rsidRDefault="005D5A5F" w:rsidP="008C7A0E">
            <w:pPr>
              <w:rPr>
                <w:rFonts w:ascii="Arial" w:eastAsia="Calibri" w:hAnsi="Arial" w:cs="Arial"/>
                <w:color w:val="000000"/>
                <w:szCs w:val="24"/>
              </w:rPr>
            </w:pPr>
            <w:r>
              <w:rPr>
                <w:rFonts w:ascii="Arial" w:eastAsia="Calibri" w:hAnsi="Arial" w:cs="Arial"/>
                <w:color w:val="000000"/>
                <w:szCs w:val="24"/>
              </w:rPr>
              <w:t>Sadia Iqbal</w:t>
            </w:r>
          </w:p>
        </w:tc>
        <w:tc>
          <w:tcPr>
            <w:tcW w:w="1141" w:type="dxa"/>
            <w:shd w:val="clear" w:color="auto" w:fill="auto"/>
            <w:vAlign w:val="center"/>
          </w:tcPr>
          <w:p w14:paraId="6E5AA9CB" w14:textId="77777777" w:rsidR="00214303" w:rsidRPr="00530168" w:rsidRDefault="005D5A5F" w:rsidP="00A4399C">
            <w:pPr>
              <w:jc w:val="both"/>
              <w:rPr>
                <w:rFonts w:ascii="Arial" w:eastAsia="Calibri" w:hAnsi="Arial" w:cs="Arial"/>
                <w:color w:val="000000"/>
                <w:szCs w:val="24"/>
              </w:rPr>
            </w:pPr>
            <w:r>
              <w:rPr>
                <w:rFonts w:ascii="Arial" w:eastAsia="Calibri" w:hAnsi="Arial" w:cs="Arial"/>
                <w:color w:val="000000"/>
                <w:szCs w:val="24"/>
              </w:rPr>
              <w:t>08/01/18</w:t>
            </w:r>
          </w:p>
        </w:tc>
        <w:tc>
          <w:tcPr>
            <w:tcW w:w="4507" w:type="dxa"/>
            <w:shd w:val="clear" w:color="auto" w:fill="auto"/>
            <w:vAlign w:val="center"/>
          </w:tcPr>
          <w:p w14:paraId="2730AFE8" w14:textId="77777777" w:rsidR="00214303" w:rsidRPr="00530168" w:rsidRDefault="00214303" w:rsidP="00A4399C">
            <w:pPr>
              <w:jc w:val="both"/>
              <w:rPr>
                <w:rFonts w:ascii="Arial" w:eastAsia="Calibri" w:hAnsi="Arial" w:cs="Arial"/>
                <w:color w:val="000000"/>
                <w:szCs w:val="24"/>
              </w:rPr>
            </w:pPr>
          </w:p>
        </w:tc>
      </w:tr>
      <w:tr w:rsidR="00214303" w:rsidRPr="0096116F" w14:paraId="626126F4" w14:textId="77777777" w:rsidTr="0041033A">
        <w:trPr>
          <w:trHeight w:val="560"/>
          <w:jc w:val="center"/>
        </w:trPr>
        <w:tc>
          <w:tcPr>
            <w:tcW w:w="1023" w:type="dxa"/>
            <w:shd w:val="clear" w:color="auto" w:fill="auto"/>
            <w:vAlign w:val="center"/>
          </w:tcPr>
          <w:p w14:paraId="542744F8" w14:textId="77777777" w:rsidR="00214303" w:rsidRPr="00530168" w:rsidRDefault="007E69C9" w:rsidP="00A4399C">
            <w:pPr>
              <w:jc w:val="both"/>
              <w:rPr>
                <w:rFonts w:ascii="Arial" w:eastAsia="Calibri" w:hAnsi="Arial" w:cs="Arial"/>
                <w:color w:val="000000"/>
                <w:szCs w:val="24"/>
              </w:rPr>
            </w:pPr>
            <w:r>
              <w:rPr>
                <w:rFonts w:ascii="Arial" w:eastAsia="Calibri" w:hAnsi="Arial" w:cs="Arial"/>
                <w:color w:val="000000"/>
                <w:szCs w:val="24"/>
              </w:rPr>
              <w:t>4</w:t>
            </w:r>
          </w:p>
        </w:tc>
        <w:tc>
          <w:tcPr>
            <w:tcW w:w="2793" w:type="dxa"/>
            <w:shd w:val="clear" w:color="auto" w:fill="auto"/>
            <w:vAlign w:val="center"/>
          </w:tcPr>
          <w:p w14:paraId="018DB218" w14:textId="77777777" w:rsidR="00214303" w:rsidRPr="00530168" w:rsidRDefault="007E69C9" w:rsidP="008C7A0E">
            <w:pPr>
              <w:rPr>
                <w:rFonts w:ascii="Arial" w:eastAsia="Calibri" w:hAnsi="Arial" w:cs="Arial"/>
                <w:color w:val="000000"/>
                <w:szCs w:val="24"/>
              </w:rPr>
            </w:pPr>
            <w:r>
              <w:rPr>
                <w:rFonts w:ascii="Arial" w:eastAsia="Calibri" w:hAnsi="Arial" w:cs="Arial"/>
                <w:color w:val="000000"/>
                <w:szCs w:val="24"/>
              </w:rPr>
              <w:t>Reetha Hussain</w:t>
            </w:r>
          </w:p>
        </w:tc>
        <w:tc>
          <w:tcPr>
            <w:tcW w:w="1141" w:type="dxa"/>
            <w:shd w:val="clear" w:color="auto" w:fill="auto"/>
            <w:vAlign w:val="center"/>
          </w:tcPr>
          <w:p w14:paraId="33F5E796" w14:textId="77777777" w:rsidR="00214303" w:rsidRPr="00530168" w:rsidRDefault="007E69C9" w:rsidP="00A4399C">
            <w:pPr>
              <w:jc w:val="both"/>
              <w:rPr>
                <w:rFonts w:ascii="Arial" w:eastAsia="Calibri" w:hAnsi="Arial" w:cs="Arial"/>
                <w:color w:val="000000"/>
                <w:szCs w:val="24"/>
              </w:rPr>
            </w:pPr>
            <w:r>
              <w:rPr>
                <w:rFonts w:ascii="Arial" w:eastAsia="Calibri" w:hAnsi="Arial" w:cs="Arial"/>
                <w:color w:val="000000"/>
                <w:szCs w:val="24"/>
              </w:rPr>
              <w:t>10/05/18</w:t>
            </w:r>
          </w:p>
        </w:tc>
        <w:tc>
          <w:tcPr>
            <w:tcW w:w="4507" w:type="dxa"/>
            <w:shd w:val="clear" w:color="auto" w:fill="auto"/>
            <w:vAlign w:val="center"/>
          </w:tcPr>
          <w:p w14:paraId="7BC2270D" w14:textId="77777777" w:rsidR="00214303" w:rsidRPr="00530168" w:rsidRDefault="00214303" w:rsidP="00A4399C">
            <w:pPr>
              <w:jc w:val="both"/>
              <w:rPr>
                <w:rFonts w:ascii="Arial" w:eastAsia="Calibri" w:hAnsi="Arial" w:cs="Arial"/>
                <w:color w:val="000000"/>
                <w:szCs w:val="24"/>
              </w:rPr>
            </w:pPr>
          </w:p>
        </w:tc>
      </w:tr>
      <w:tr w:rsidR="000F5AA5" w:rsidRPr="0096116F" w14:paraId="5EC79F79" w14:textId="77777777" w:rsidTr="0041033A">
        <w:trPr>
          <w:trHeight w:val="560"/>
          <w:jc w:val="center"/>
        </w:trPr>
        <w:tc>
          <w:tcPr>
            <w:tcW w:w="1023" w:type="dxa"/>
            <w:shd w:val="clear" w:color="auto" w:fill="auto"/>
            <w:vAlign w:val="center"/>
          </w:tcPr>
          <w:p w14:paraId="44203F39" w14:textId="77777777" w:rsidR="000F5AA5" w:rsidRDefault="000F5AA5" w:rsidP="00A4399C">
            <w:pPr>
              <w:jc w:val="both"/>
              <w:rPr>
                <w:rFonts w:ascii="Arial" w:eastAsia="Calibri" w:hAnsi="Arial" w:cs="Arial"/>
                <w:color w:val="000000"/>
                <w:szCs w:val="24"/>
              </w:rPr>
            </w:pPr>
            <w:r>
              <w:rPr>
                <w:rFonts w:ascii="Arial" w:eastAsia="Calibri" w:hAnsi="Arial" w:cs="Arial"/>
                <w:color w:val="000000"/>
                <w:szCs w:val="24"/>
              </w:rPr>
              <w:t>5</w:t>
            </w:r>
          </w:p>
        </w:tc>
        <w:tc>
          <w:tcPr>
            <w:tcW w:w="2793" w:type="dxa"/>
            <w:shd w:val="clear" w:color="auto" w:fill="auto"/>
            <w:vAlign w:val="center"/>
          </w:tcPr>
          <w:p w14:paraId="24264CB8" w14:textId="77777777" w:rsidR="000F5AA5" w:rsidRDefault="000F5AA5" w:rsidP="008C7A0E">
            <w:pPr>
              <w:rPr>
                <w:rFonts w:ascii="Arial" w:eastAsia="Calibri" w:hAnsi="Arial" w:cs="Arial"/>
                <w:color w:val="000000"/>
                <w:szCs w:val="24"/>
              </w:rPr>
            </w:pPr>
            <w:r>
              <w:rPr>
                <w:rFonts w:ascii="Arial" w:eastAsia="Calibri" w:hAnsi="Arial" w:cs="Arial"/>
                <w:color w:val="000000"/>
                <w:szCs w:val="24"/>
              </w:rPr>
              <w:t>Reetha Hussain</w:t>
            </w:r>
          </w:p>
        </w:tc>
        <w:tc>
          <w:tcPr>
            <w:tcW w:w="1141" w:type="dxa"/>
            <w:shd w:val="clear" w:color="auto" w:fill="auto"/>
            <w:vAlign w:val="center"/>
          </w:tcPr>
          <w:p w14:paraId="6C59EE9B" w14:textId="77777777" w:rsidR="000F5AA5" w:rsidRDefault="000F5AA5" w:rsidP="00A4399C">
            <w:pPr>
              <w:jc w:val="both"/>
              <w:rPr>
                <w:rFonts w:ascii="Arial" w:eastAsia="Calibri" w:hAnsi="Arial" w:cs="Arial"/>
                <w:color w:val="000000"/>
                <w:szCs w:val="24"/>
              </w:rPr>
            </w:pPr>
            <w:r>
              <w:rPr>
                <w:rFonts w:ascii="Arial" w:eastAsia="Calibri" w:hAnsi="Arial" w:cs="Arial"/>
                <w:color w:val="000000"/>
                <w:szCs w:val="24"/>
              </w:rPr>
              <w:t>21/11/18</w:t>
            </w:r>
          </w:p>
        </w:tc>
        <w:tc>
          <w:tcPr>
            <w:tcW w:w="4507" w:type="dxa"/>
            <w:shd w:val="clear" w:color="auto" w:fill="auto"/>
            <w:vAlign w:val="center"/>
          </w:tcPr>
          <w:p w14:paraId="5123A040" w14:textId="77777777" w:rsidR="000F5AA5" w:rsidRPr="00530168" w:rsidRDefault="00396B4D" w:rsidP="00A4399C">
            <w:pPr>
              <w:jc w:val="both"/>
              <w:rPr>
                <w:rFonts w:ascii="Arial" w:eastAsia="Calibri" w:hAnsi="Arial" w:cs="Arial"/>
                <w:color w:val="000000"/>
                <w:szCs w:val="24"/>
              </w:rPr>
            </w:pPr>
            <w:r>
              <w:rPr>
                <w:rFonts w:ascii="Arial" w:eastAsia="Calibri" w:hAnsi="Arial" w:cs="Arial"/>
                <w:color w:val="000000"/>
                <w:szCs w:val="24"/>
              </w:rPr>
              <w:t>Comments from Jo Adams and Janet Lee incorporated</w:t>
            </w:r>
          </w:p>
        </w:tc>
      </w:tr>
      <w:tr w:rsidR="00A24571" w:rsidRPr="00530168" w14:paraId="6BFE5955" w14:textId="77777777" w:rsidTr="0041033A">
        <w:trPr>
          <w:trHeight w:val="560"/>
          <w:jc w:val="center"/>
        </w:trPr>
        <w:tc>
          <w:tcPr>
            <w:tcW w:w="1023" w:type="dxa"/>
            <w:shd w:val="clear" w:color="auto" w:fill="auto"/>
            <w:vAlign w:val="center"/>
          </w:tcPr>
          <w:p w14:paraId="2B3DD833" w14:textId="77777777" w:rsidR="00A24571" w:rsidRDefault="00A24571" w:rsidP="00E6159C">
            <w:pPr>
              <w:jc w:val="both"/>
              <w:rPr>
                <w:rFonts w:ascii="Arial" w:eastAsia="Calibri" w:hAnsi="Arial" w:cs="Arial"/>
                <w:color w:val="000000"/>
                <w:szCs w:val="24"/>
              </w:rPr>
            </w:pPr>
            <w:r>
              <w:rPr>
                <w:rFonts w:ascii="Arial" w:eastAsia="Calibri" w:hAnsi="Arial" w:cs="Arial"/>
                <w:color w:val="000000"/>
                <w:szCs w:val="24"/>
              </w:rPr>
              <w:t>6</w:t>
            </w:r>
          </w:p>
        </w:tc>
        <w:tc>
          <w:tcPr>
            <w:tcW w:w="2793" w:type="dxa"/>
            <w:shd w:val="clear" w:color="auto" w:fill="auto"/>
            <w:vAlign w:val="center"/>
          </w:tcPr>
          <w:p w14:paraId="7E9BDDF0" w14:textId="77777777" w:rsidR="00A24571" w:rsidRDefault="00A24571" w:rsidP="008C7A0E">
            <w:pPr>
              <w:rPr>
                <w:rFonts w:ascii="Arial" w:eastAsia="Calibri" w:hAnsi="Arial" w:cs="Arial"/>
                <w:color w:val="000000"/>
                <w:szCs w:val="24"/>
              </w:rPr>
            </w:pPr>
            <w:r>
              <w:rPr>
                <w:rFonts w:ascii="Arial" w:eastAsia="Calibri" w:hAnsi="Arial" w:cs="Arial"/>
                <w:color w:val="000000"/>
                <w:szCs w:val="24"/>
              </w:rPr>
              <w:t>Reetha Hussain</w:t>
            </w:r>
          </w:p>
        </w:tc>
        <w:tc>
          <w:tcPr>
            <w:tcW w:w="1141" w:type="dxa"/>
            <w:shd w:val="clear" w:color="auto" w:fill="auto"/>
            <w:vAlign w:val="center"/>
          </w:tcPr>
          <w:p w14:paraId="3C9E2FFB" w14:textId="77777777" w:rsidR="00A24571" w:rsidRDefault="00A24571" w:rsidP="00E6159C">
            <w:pPr>
              <w:jc w:val="both"/>
              <w:rPr>
                <w:rFonts w:ascii="Arial" w:eastAsia="Calibri" w:hAnsi="Arial" w:cs="Arial"/>
                <w:color w:val="000000"/>
                <w:szCs w:val="24"/>
              </w:rPr>
            </w:pPr>
            <w:r>
              <w:rPr>
                <w:rFonts w:ascii="Arial" w:eastAsia="Calibri" w:hAnsi="Arial" w:cs="Arial"/>
                <w:color w:val="000000"/>
                <w:szCs w:val="24"/>
              </w:rPr>
              <w:t>04/12/18</w:t>
            </w:r>
          </w:p>
        </w:tc>
        <w:tc>
          <w:tcPr>
            <w:tcW w:w="4507" w:type="dxa"/>
            <w:shd w:val="clear" w:color="auto" w:fill="auto"/>
            <w:vAlign w:val="center"/>
          </w:tcPr>
          <w:p w14:paraId="1BA38A53" w14:textId="77777777" w:rsidR="00A24571" w:rsidRPr="00530168" w:rsidRDefault="00A24571" w:rsidP="00E6159C">
            <w:pPr>
              <w:jc w:val="both"/>
              <w:rPr>
                <w:rFonts w:ascii="Arial" w:eastAsia="Calibri" w:hAnsi="Arial" w:cs="Arial"/>
                <w:color w:val="000000"/>
                <w:szCs w:val="24"/>
              </w:rPr>
            </w:pPr>
            <w:r>
              <w:rPr>
                <w:rFonts w:ascii="Arial" w:eastAsia="Calibri" w:hAnsi="Arial" w:cs="Arial"/>
                <w:color w:val="000000"/>
                <w:szCs w:val="24"/>
              </w:rPr>
              <w:t>SMT approved guidance.</w:t>
            </w:r>
          </w:p>
        </w:tc>
      </w:tr>
      <w:tr w:rsidR="00B8398B" w:rsidRPr="00530168" w14:paraId="2BADB3BB" w14:textId="77777777" w:rsidTr="0041033A">
        <w:trPr>
          <w:trHeight w:val="560"/>
          <w:jc w:val="center"/>
        </w:trPr>
        <w:tc>
          <w:tcPr>
            <w:tcW w:w="1023" w:type="dxa"/>
            <w:shd w:val="clear" w:color="auto" w:fill="auto"/>
            <w:vAlign w:val="center"/>
          </w:tcPr>
          <w:p w14:paraId="17B60126" w14:textId="77777777" w:rsidR="00B8398B" w:rsidRDefault="00DC4418" w:rsidP="00E6159C">
            <w:pPr>
              <w:jc w:val="both"/>
              <w:rPr>
                <w:rFonts w:ascii="Arial" w:eastAsia="Calibri" w:hAnsi="Arial" w:cs="Arial"/>
                <w:color w:val="000000"/>
                <w:szCs w:val="24"/>
              </w:rPr>
            </w:pPr>
            <w:r>
              <w:rPr>
                <w:rFonts w:ascii="Arial" w:eastAsia="Calibri" w:hAnsi="Arial" w:cs="Arial"/>
                <w:color w:val="000000"/>
                <w:szCs w:val="24"/>
              </w:rPr>
              <w:t>7</w:t>
            </w:r>
          </w:p>
        </w:tc>
        <w:tc>
          <w:tcPr>
            <w:tcW w:w="2793" w:type="dxa"/>
            <w:shd w:val="clear" w:color="auto" w:fill="auto"/>
            <w:vAlign w:val="center"/>
          </w:tcPr>
          <w:p w14:paraId="3C56DE9B" w14:textId="77777777" w:rsidR="00B8398B" w:rsidRDefault="00DC4418" w:rsidP="008C7A0E">
            <w:pPr>
              <w:rPr>
                <w:rFonts w:ascii="Arial" w:eastAsia="Calibri" w:hAnsi="Arial" w:cs="Arial"/>
                <w:color w:val="000000"/>
                <w:szCs w:val="24"/>
              </w:rPr>
            </w:pPr>
            <w:r>
              <w:rPr>
                <w:rFonts w:ascii="Arial" w:eastAsia="Calibri" w:hAnsi="Arial" w:cs="Arial"/>
                <w:color w:val="000000"/>
                <w:szCs w:val="24"/>
              </w:rPr>
              <w:t>Shallom Sithole/ Janet Lee</w:t>
            </w:r>
          </w:p>
        </w:tc>
        <w:tc>
          <w:tcPr>
            <w:tcW w:w="1141" w:type="dxa"/>
            <w:shd w:val="clear" w:color="auto" w:fill="auto"/>
            <w:vAlign w:val="center"/>
          </w:tcPr>
          <w:p w14:paraId="6BA6A4F1" w14:textId="77777777" w:rsidR="00B8398B" w:rsidRDefault="00AD0982" w:rsidP="00E6159C">
            <w:pPr>
              <w:jc w:val="both"/>
              <w:rPr>
                <w:rFonts w:ascii="Arial" w:eastAsia="Calibri" w:hAnsi="Arial" w:cs="Arial"/>
                <w:color w:val="000000"/>
                <w:szCs w:val="24"/>
              </w:rPr>
            </w:pPr>
            <w:r>
              <w:rPr>
                <w:rFonts w:ascii="Arial" w:eastAsia="Calibri" w:hAnsi="Arial" w:cs="Arial"/>
                <w:color w:val="000000"/>
                <w:szCs w:val="24"/>
              </w:rPr>
              <w:t>01/2021</w:t>
            </w:r>
          </w:p>
        </w:tc>
        <w:tc>
          <w:tcPr>
            <w:tcW w:w="4507" w:type="dxa"/>
            <w:shd w:val="clear" w:color="auto" w:fill="auto"/>
            <w:vAlign w:val="center"/>
          </w:tcPr>
          <w:p w14:paraId="73129A13" w14:textId="77777777" w:rsidR="00B8398B" w:rsidRDefault="00AD0982" w:rsidP="00E6159C">
            <w:pPr>
              <w:jc w:val="both"/>
              <w:rPr>
                <w:rFonts w:ascii="Arial" w:eastAsia="Calibri" w:hAnsi="Arial" w:cs="Arial"/>
                <w:color w:val="000000"/>
                <w:szCs w:val="24"/>
              </w:rPr>
            </w:pPr>
            <w:r>
              <w:rPr>
                <w:rFonts w:ascii="Arial" w:eastAsia="Calibri" w:hAnsi="Arial" w:cs="Arial"/>
                <w:color w:val="000000"/>
                <w:szCs w:val="24"/>
              </w:rPr>
              <w:t>Review of the guidance</w:t>
            </w:r>
          </w:p>
        </w:tc>
      </w:tr>
      <w:tr w:rsidR="008C7A0E" w:rsidRPr="00530168" w14:paraId="51C39DB7" w14:textId="77777777" w:rsidTr="0041033A">
        <w:trPr>
          <w:trHeight w:val="560"/>
          <w:jc w:val="center"/>
        </w:trPr>
        <w:tc>
          <w:tcPr>
            <w:tcW w:w="1023" w:type="dxa"/>
            <w:shd w:val="clear" w:color="auto" w:fill="auto"/>
            <w:vAlign w:val="center"/>
          </w:tcPr>
          <w:p w14:paraId="5F67B282" w14:textId="0AE1DB00" w:rsidR="008C7A0E" w:rsidRDefault="007000A9" w:rsidP="00E6159C">
            <w:pPr>
              <w:jc w:val="both"/>
              <w:rPr>
                <w:rFonts w:ascii="Arial" w:eastAsia="Calibri" w:hAnsi="Arial" w:cs="Arial"/>
                <w:color w:val="000000"/>
                <w:szCs w:val="24"/>
              </w:rPr>
            </w:pPr>
            <w:r>
              <w:rPr>
                <w:rFonts w:ascii="Arial" w:eastAsia="Calibri" w:hAnsi="Arial" w:cs="Arial"/>
                <w:color w:val="000000"/>
                <w:szCs w:val="24"/>
              </w:rPr>
              <w:t>7</w:t>
            </w:r>
          </w:p>
        </w:tc>
        <w:tc>
          <w:tcPr>
            <w:tcW w:w="2793" w:type="dxa"/>
            <w:shd w:val="clear" w:color="auto" w:fill="auto"/>
            <w:vAlign w:val="center"/>
          </w:tcPr>
          <w:p w14:paraId="2837FE9E" w14:textId="3F93148D" w:rsidR="008C7A0E" w:rsidRDefault="008C7A0E" w:rsidP="008C7A0E">
            <w:pPr>
              <w:rPr>
                <w:rFonts w:ascii="Arial" w:eastAsia="Calibri" w:hAnsi="Arial" w:cs="Arial"/>
                <w:color w:val="000000"/>
                <w:szCs w:val="24"/>
              </w:rPr>
            </w:pPr>
            <w:r>
              <w:rPr>
                <w:rFonts w:ascii="Arial" w:eastAsia="Calibri" w:hAnsi="Arial" w:cs="Arial"/>
                <w:color w:val="000000"/>
                <w:szCs w:val="24"/>
              </w:rPr>
              <w:t>Jamie Spencer</w:t>
            </w:r>
          </w:p>
        </w:tc>
        <w:tc>
          <w:tcPr>
            <w:tcW w:w="1141" w:type="dxa"/>
            <w:shd w:val="clear" w:color="auto" w:fill="auto"/>
            <w:vAlign w:val="center"/>
          </w:tcPr>
          <w:p w14:paraId="072FC1A1" w14:textId="5ABB198D" w:rsidR="008C7A0E" w:rsidRDefault="007000A9" w:rsidP="00E6159C">
            <w:pPr>
              <w:jc w:val="both"/>
              <w:rPr>
                <w:rFonts w:ascii="Arial" w:eastAsia="Calibri" w:hAnsi="Arial" w:cs="Arial"/>
                <w:color w:val="000000"/>
                <w:szCs w:val="24"/>
              </w:rPr>
            </w:pPr>
            <w:r>
              <w:rPr>
                <w:rFonts w:ascii="Arial" w:eastAsia="Calibri" w:hAnsi="Arial" w:cs="Arial"/>
                <w:color w:val="000000"/>
                <w:szCs w:val="24"/>
              </w:rPr>
              <w:t>11/24</w:t>
            </w:r>
          </w:p>
        </w:tc>
        <w:tc>
          <w:tcPr>
            <w:tcW w:w="4507" w:type="dxa"/>
            <w:shd w:val="clear" w:color="auto" w:fill="auto"/>
            <w:vAlign w:val="center"/>
          </w:tcPr>
          <w:p w14:paraId="4E23E2E1" w14:textId="5A78E56C" w:rsidR="008C7A0E" w:rsidRDefault="007000A9" w:rsidP="00E6159C">
            <w:pPr>
              <w:jc w:val="both"/>
              <w:rPr>
                <w:rFonts w:ascii="Arial" w:eastAsia="Calibri" w:hAnsi="Arial" w:cs="Arial"/>
                <w:color w:val="000000"/>
                <w:szCs w:val="24"/>
              </w:rPr>
            </w:pPr>
            <w:r>
              <w:rPr>
                <w:rFonts w:ascii="Arial" w:eastAsia="Calibri" w:hAnsi="Arial" w:cs="Arial"/>
                <w:color w:val="000000"/>
                <w:szCs w:val="24"/>
              </w:rPr>
              <w:t>Reviewed and no further changes</w:t>
            </w:r>
          </w:p>
        </w:tc>
      </w:tr>
    </w:tbl>
    <w:p w14:paraId="41D4C4E8" w14:textId="77777777" w:rsidR="00214303" w:rsidRDefault="00214303" w:rsidP="00A4399C">
      <w:pPr>
        <w:pStyle w:val="BodyText"/>
        <w:tabs>
          <w:tab w:val="left" w:pos="547"/>
        </w:tabs>
        <w:ind w:right="118" w:hanging="1200"/>
        <w:jc w:val="both"/>
        <w:rPr>
          <w:b/>
          <w:sz w:val="22"/>
        </w:rPr>
      </w:pPr>
    </w:p>
    <w:p w14:paraId="1A92C60F" w14:textId="77777777" w:rsidR="00214303" w:rsidRDefault="00214303" w:rsidP="00A4399C">
      <w:pPr>
        <w:pStyle w:val="BodyText"/>
        <w:tabs>
          <w:tab w:val="left" w:pos="547"/>
        </w:tabs>
        <w:ind w:right="118" w:hanging="1200"/>
        <w:jc w:val="both"/>
        <w:rPr>
          <w:b/>
          <w:sz w:val="22"/>
        </w:rPr>
      </w:pPr>
    </w:p>
    <w:p w14:paraId="0BC4F5C2" w14:textId="77777777" w:rsidR="00901826" w:rsidRDefault="00901826" w:rsidP="00A4399C">
      <w:pPr>
        <w:jc w:val="both"/>
        <w:rPr>
          <w:rFonts w:ascii="Times New Roman" w:hAnsi="Times New Roman" w:cs="Times New Roman"/>
          <w:b/>
          <w:sz w:val="32"/>
          <w:szCs w:val="32"/>
        </w:rPr>
      </w:pPr>
    </w:p>
    <w:p w14:paraId="74F4E098" w14:textId="77777777" w:rsidR="00836FA4" w:rsidRDefault="00836FA4" w:rsidP="00A4399C">
      <w:pPr>
        <w:jc w:val="both"/>
        <w:rPr>
          <w:rFonts w:ascii="Times New Roman" w:hAnsi="Times New Roman" w:cs="Times New Roman"/>
          <w:b/>
          <w:sz w:val="32"/>
          <w:szCs w:val="32"/>
        </w:rPr>
      </w:pPr>
    </w:p>
    <w:p w14:paraId="71592BC4" w14:textId="77777777" w:rsidR="00681AA4" w:rsidRPr="00D36905" w:rsidRDefault="00681AA4" w:rsidP="00A4399C">
      <w:pPr>
        <w:jc w:val="both"/>
        <w:rPr>
          <w:rFonts w:ascii="Times New Roman" w:hAnsi="Times New Roman" w:cs="Times New Roman"/>
          <w:b/>
          <w:sz w:val="32"/>
          <w:szCs w:val="32"/>
        </w:rPr>
      </w:pPr>
    </w:p>
    <w:p w14:paraId="6B0CF205" w14:textId="77777777" w:rsidR="007245AC" w:rsidRDefault="007245AC">
      <w:r>
        <w:br w:type="page"/>
      </w:r>
    </w:p>
    <w:p w14:paraId="22B99B11" w14:textId="457E9E03" w:rsidR="007245AC" w:rsidRDefault="007245AC"/>
    <w:p w14:paraId="53AD587D" w14:textId="6C609ECD" w:rsidR="006A46D7" w:rsidRDefault="006A46D7"/>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9"/>
      </w:tblGrid>
      <w:tr w:rsidR="00901826" w14:paraId="4879BFED" w14:textId="77777777" w:rsidTr="007245AC">
        <w:trPr>
          <w:trHeight w:val="567"/>
        </w:trPr>
        <w:tc>
          <w:tcPr>
            <w:tcW w:w="8169" w:type="dxa"/>
          </w:tcPr>
          <w:p w14:paraId="04F0E47C" w14:textId="18B0DA24" w:rsidR="00214303" w:rsidRDefault="00214303" w:rsidP="00A4399C">
            <w:pPr>
              <w:pStyle w:val="BodyText"/>
              <w:tabs>
                <w:tab w:val="left" w:pos="547"/>
              </w:tabs>
              <w:ind w:left="0" w:right="118" w:firstLine="0"/>
              <w:jc w:val="both"/>
              <w:rPr>
                <w:sz w:val="22"/>
              </w:rPr>
            </w:pPr>
          </w:p>
          <w:p w14:paraId="287A1A47" w14:textId="77777777" w:rsidR="00214303" w:rsidRPr="00BC4C84" w:rsidRDefault="00315D6E" w:rsidP="00A4399C">
            <w:pPr>
              <w:pStyle w:val="BodyText"/>
              <w:tabs>
                <w:tab w:val="left" w:pos="547"/>
              </w:tabs>
              <w:ind w:left="0" w:right="118" w:firstLine="0"/>
              <w:jc w:val="both"/>
              <w:rPr>
                <w:b/>
                <w:sz w:val="28"/>
              </w:rPr>
            </w:pPr>
            <w:r w:rsidRPr="00BC4C84">
              <w:rPr>
                <w:b/>
                <w:sz w:val="28"/>
              </w:rPr>
              <w:t xml:space="preserve">Contents </w:t>
            </w:r>
          </w:p>
          <w:p w14:paraId="6F4ED63B" w14:textId="77777777" w:rsidR="002E7811" w:rsidRDefault="002E7811" w:rsidP="00A4399C">
            <w:pPr>
              <w:pStyle w:val="BodyText"/>
              <w:tabs>
                <w:tab w:val="left" w:pos="547"/>
              </w:tabs>
              <w:ind w:left="0" w:right="118" w:firstLine="0"/>
              <w:jc w:val="both"/>
              <w:rPr>
                <w:sz w:val="22"/>
              </w:rPr>
            </w:pPr>
          </w:p>
          <w:sdt>
            <w:sdtPr>
              <w:id w:val="2100288300"/>
              <w:docPartObj>
                <w:docPartGallery w:val="Table of Contents"/>
                <w:docPartUnique/>
              </w:docPartObj>
            </w:sdtPr>
            <w:sdtEndPr>
              <w:rPr>
                <w:rFonts w:ascii="Arial" w:hAnsi="Arial" w:cs="Arial"/>
                <w:b/>
                <w:bCs/>
                <w:noProof/>
              </w:rPr>
            </w:sdtEndPr>
            <w:sdtContent>
              <w:p w14:paraId="7E7BC7B4" w14:textId="1A2D8AF4" w:rsidR="00663FDC" w:rsidRPr="00663FDC" w:rsidRDefault="0075015C">
                <w:pPr>
                  <w:pStyle w:val="TOC1"/>
                  <w:tabs>
                    <w:tab w:val="left" w:pos="440"/>
                    <w:tab w:val="right" w:leader="dot" w:pos="9016"/>
                  </w:tabs>
                  <w:rPr>
                    <w:rFonts w:ascii="Arial" w:eastAsiaTheme="minorEastAsia" w:hAnsi="Arial" w:cs="Arial"/>
                    <w:noProof/>
                    <w:lang w:eastAsia="en-GB"/>
                  </w:rPr>
                </w:pPr>
                <w:r w:rsidRPr="002E7811">
                  <w:rPr>
                    <w:rFonts w:ascii="Arial" w:hAnsi="Arial" w:cs="Arial"/>
                  </w:rPr>
                  <w:fldChar w:fldCharType="begin"/>
                </w:r>
                <w:r w:rsidRPr="002E7811">
                  <w:rPr>
                    <w:rFonts w:ascii="Arial" w:hAnsi="Arial" w:cs="Arial"/>
                  </w:rPr>
                  <w:instrText xml:space="preserve"> TOC \o "1-3" \h \z \u </w:instrText>
                </w:r>
                <w:r w:rsidRPr="002E7811">
                  <w:rPr>
                    <w:rFonts w:ascii="Arial" w:hAnsi="Arial" w:cs="Arial"/>
                  </w:rPr>
                  <w:fldChar w:fldCharType="separate"/>
                </w:r>
                <w:hyperlink w:anchor="_Toc62550035" w:history="1">
                  <w:r w:rsidR="00663FDC" w:rsidRPr="00663FDC">
                    <w:rPr>
                      <w:rStyle w:val="Hyperlink"/>
                      <w:rFonts w:ascii="Arial" w:hAnsi="Arial" w:cs="Arial"/>
                      <w:noProof/>
                    </w:rPr>
                    <w:t>1.</w:t>
                  </w:r>
                  <w:r w:rsidR="00663FDC" w:rsidRPr="00663FDC">
                    <w:rPr>
                      <w:rFonts w:ascii="Arial" w:eastAsiaTheme="minorEastAsia" w:hAnsi="Arial" w:cs="Arial"/>
                      <w:noProof/>
                      <w:lang w:eastAsia="en-GB"/>
                    </w:rPr>
                    <w:tab/>
                  </w:r>
                  <w:r w:rsidR="00663FDC" w:rsidRPr="00663FDC">
                    <w:rPr>
                      <w:rStyle w:val="Hyperlink"/>
                      <w:rFonts w:ascii="Arial" w:hAnsi="Arial" w:cs="Arial"/>
                      <w:noProof/>
                    </w:rPr>
                    <w:t>Purpose</w:t>
                  </w:r>
                  <w:r w:rsidR="00663FDC" w:rsidRPr="00663FDC">
                    <w:rPr>
                      <w:rFonts w:ascii="Arial" w:hAnsi="Arial" w:cs="Arial"/>
                      <w:noProof/>
                      <w:webHidden/>
                    </w:rPr>
                    <w:tab/>
                  </w:r>
                  <w:r w:rsidR="00663FDC" w:rsidRPr="00663FDC">
                    <w:rPr>
                      <w:rFonts w:ascii="Arial" w:hAnsi="Arial" w:cs="Arial"/>
                      <w:noProof/>
                      <w:webHidden/>
                    </w:rPr>
                    <w:fldChar w:fldCharType="begin"/>
                  </w:r>
                  <w:r w:rsidR="00663FDC" w:rsidRPr="00663FDC">
                    <w:rPr>
                      <w:rFonts w:ascii="Arial" w:hAnsi="Arial" w:cs="Arial"/>
                      <w:noProof/>
                      <w:webHidden/>
                    </w:rPr>
                    <w:instrText xml:space="preserve"> PAGEREF _Toc62550035 \h </w:instrText>
                  </w:r>
                  <w:r w:rsidR="00663FDC" w:rsidRPr="00663FDC">
                    <w:rPr>
                      <w:rFonts w:ascii="Arial" w:hAnsi="Arial" w:cs="Arial"/>
                      <w:noProof/>
                      <w:webHidden/>
                    </w:rPr>
                  </w:r>
                  <w:r w:rsidR="00663FDC" w:rsidRPr="00663FDC">
                    <w:rPr>
                      <w:rFonts w:ascii="Arial" w:hAnsi="Arial" w:cs="Arial"/>
                      <w:noProof/>
                      <w:webHidden/>
                    </w:rPr>
                    <w:fldChar w:fldCharType="separate"/>
                  </w:r>
                  <w:r w:rsidR="00663FDC" w:rsidRPr="00663FDC">
                    <w:rPr>
                      <w:rFonts w:ascii="Arial" w:hAnsi="Arial" w:cs="Arial"/>
                      <w:noProof/>
                      <w:webHidden/>
                    </w:rPr>
                    <w:t>3</w:t>
                  </w:r>
                  <w:r w:rsidR="00663FDC" w:rsidRPr="00663FDC">
                    <w:rPr>
                      <w:rFonts w:ascii="Arial" w:hAnsi="Arial" w:cs="Arial"/>
                      <w:noProof/>
                      <w:webHidden/>
                    </w:rPr>
                    <w:fldChar w:fldCharType="end"/>
                  </w:r>
                </w:hyperlink>
              </w:p>
              <w:p w14:paraId="6DA9512E" w14:textId="7D370047" w:rsidR="00663FDC" w:rsidRPr="00663FDC" w:rsidRDefault="00663FDC">
                <w:pPr>
                  <w:pStyle w:val="TOC1"/>
                  <w:tabs>
                    <w:tab w:val="left" w:pos="440"/>
                    <w:tab w:val="right" w:leader="dot" w:pos="9016"/>
                  </w:tabs>
                  <w:rPr>
                    <w:rFonts w:ascii="Arial" w:eastAsiaTheme="minorEastAsia" w:hAnsi="Arial" w:cs="Arial"/>
                    <w:noProof/>
                    <w:lang w:eastAsia="en-GB"/>
                  </w:rPr>
                </w:pPr>
                <w:hyperlink w:anchor="_Toc62550036" w:history="1">
                  <w:r w:rsidRPr="00663FDC">
                    <w:rPr>
                      <w:rStyle w:val="Hyperlink"/>
                      <w:rFonts w:ascii="Arial" w:hAnsi="Arial" w:cs="Arial"/>
                      <w:noProof/>
                    </w:rPr>
                    <w:t>2.</w:t>
                  </w:r>
                  <w:r w:rsidRPr="00663FDC">
                    <w:rPr>
                      <w:rFonts w:ascii="Arial" w:eastAsiaTheme="minorEastAsia" w:hAnsi="Arial" w:cs="Arial"/>
                      <w:noProof/>
                      <w:lang w:eastAsia="en-GB"/>
                    </w:rPr>
                    <w:tab/>
                  </w:r>
                  <w:r w:rsidRPr="00663FDC">
                    <w:rPr>
                      <w:rStyle w:val="Hyperlink"/>
                      <w:rFonts w:ascii="Arial" w:hAnsi="Arial" w:cs="Arial"/>
                      <w:noProof/>
                    </w:rPr>
                    <w:t>Scope</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_Toc62550036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3</w:t>
                  </w:r>
                  <w:r w:rsidRPr="00663FDC">
                    <w:rPr>
                      <w:rFonts w:ascii="Arial" w:hAnsi="Arial" w:cs="Arial"/>
                      <w:noProof/>
                      <w:webHidden/>
                    </w:rPr>
                    <w:fldChar w:fldCharType="end"/>
                  </w:r>
                </w:hyperlink>
              </w:p>
              <w:p w14:paraId="139C4E2B" w14:textId="5F7CC499" w:rsidR="00663FDC" w:rsidRPr="00663FDC" w:rsidRDefault="00663FDC">
                <w:pPr>
                  <w:pStyle w:val="TOC1"/>
                  <w:tabs>
                    <w:tab w:val="left" w:pos="440"/>
                    <w:tab w:val="right" w:leader="dot" w:pos="9016"/>
                  </w:tabs>
                  <w:rPr>
                    <w:rFonts w:ascii="Arial" w:eastAsiaTheme="minorEastAsia" w:hAnsi="Arial" w:cs="Arial"/>
                    <w:noProof/>
                    <w:lang w:eastAsia="en-GB"/>
                  </w:rPr>
                </w:pPr>
                <w:hyperlink w:anchor="_Toc62550037" w:history="1">
                  <w:r w:rsidRPr="00663FDC">
                    <w:rPr>
                      <w:rStyle w:val="Hyperlink"/>
                      <w:rFonts w:ascii="Arial" w:hAnsi="Arial" w:cs="Arial"/>
                      <w:noProof/>
                    </w:rPr>
                    <w:t>3.</w:t>
                  </w:r>
                  <w:r w:rsidRPr="00663FDC">
                    <w:rPr>
                      <w:rFonts w:ascii="Arial" w:eastAsiaTheme="minorEastAsia" w:hAnsi="Arial" w:cs="Arial"/>
                      <w:noProof/>
                      <w:lang w:eastAsia="en-GB"/>
                    </w:rPr>
                    <w:tab/>
                  </w:r>
                  <w:r w:rsidRPr="00663FDC">
                    <w:rPr>
                      <w:rStyle w:val="Hyperlink"/>
                      <w:rFonts w:ascii="Arial" w:hAnsi="Arial" w:cs="Arial"/>
                      <w:noProof/>
                    </w:rPr>
                    <w:t>Responsibilities</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_Toc62550037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3</w:t>
                  </w:r>
                  <w:r w:rsidRPr="00663FDC">
                    <w:rPr>
                      <w:rFonts w:ascii="Arial" w:hAnsi="Arial" w:cs="Arial"/>
                      <w:noProof/>
                      <w:webHidden/>
                    </w:rPr>
                    <w:fldChar w:fldCharType="end"/>
                  </w:r>
                </w:hyperlink>
              </w:p>
              <w:p w14:paraId="6E6F9638" w14:textId="4BFE90F4" w:rsidR="00663FDC" w:rsidRPr="00663FDC" w:rsidRDefault="00663FDC">
                <w:pPr>
                  <w:pStyle w:val="TOC1"/>
                  <w:tabs>
                    <w:tab w:val="left" w:pos="440"/>
                    <w:tab w:val="right" w:leader="dot" w:pos="9016"/>
                  </w:tabs>
                  <w:rPr>
                    <w:rFonts w:ascii="Arial" w:eastAsiaTheme="minorEastAsia" w:hAnsi="Arial" w:cs="Arial"/>
                    <w:noProof/>
                    <w:lang w:eastAsia="en-GB"/>
                  </w:rPr>
                </w:pPr>
                <w:hyperlink w:anchor="_Toc62550038" w:history="1">
                  <w:r w:rsidRPr="00663FDC">
                    <w:rPr>
                      <w:rStyle w:val="Hyperlink"/>
                      <w:rFonts w:ascii="Arial" w:hAnsi="Arial" w:cs="Arial"/>
                      <w:noProof/>
                    </w:rPr>
                    <w:t>4.</w:t>
                  </w:r>
                  <w:r w:rsidRPr="00663FDC">
                    <w:rPr>
                      <w:rFonts w:ascii="Arial" w:eastAsiaTheme="minorEastAsia" w:hAnsi="Arial" w:cs="Arial"/>
                      <w:noProof/>
                      <w:lang w:eastAsia="en-GB"/>
                    </w:rPr>
                    <w:tab/>
                  </w:r>
                  <w:r w:rsidRPr="00663FDC">
                    <w:rPr>
                      <w:rStyle w:val="Hyperlink"/>
                      <w:rFonts w:ascii="Arial" w:hAnsi="Arial" w:cs="Arial"/>
                      <w:noProof/>
                    </w:rPr>
                    <w:t>Principles</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_Toc62550038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3</w:t>
                  </w:r>
                  <w:r w:rsidRPr="00663FDC">
                    <w:rPr>
                      <w:rFonts w:ascii="Arial" w:hAnsi="Arial" w:cs="Arial"/>
                      <w:noProof/>
                      <w:webHidden/>
                    </w:rPr>
                    <w:fldChar w:fldCharType="end"/>
                  </w:r>
                </w:hyperlink>
              </w:p>
              <w:p w14:paraId="49E2D0F0" w14:textId="63C93F6F" w:rsidR="00663FDC" w:rsidRPr="00663FDC" w:rsidRDefault="00663FDC">
                <w:pPr>
                  <w:pStyle w:val="TOC1"/>
                  <w:tabs>
                    <w:tab w:val="left" w:pos="440"/>
                    <w:tab w:val="right" w:leader="dot" w:pos="9016"/>
                  </w:tabs>
                  <w:rPr>
                    <w:rFonts w:ascii="Arial" w:eastAsiaTheme="minorEastAsia" w:hAnsi="Arial" w:cs="Arial"/>
                    <w:noProof/>
                    <w:lang w:eastAsia="en-GB"/>
                  </w:rPr>
                </w:pPr>
                <w:hyperlink w:anchor="_Toc62550039" w:history="1">
                  <w:r w:rsidRPr="00663FDC">
                    <w:rPr>
                      <w:rStyle w:val="Hyperlink"/>
                      <w:rFonts w:ascii="Arial" w:hAnsi="Arial" w:cs="Arial"/>
                      <w:noProof/>
                    </w:rPr>
                    <w:t>5.</w:t>
                  </w:r>
                  <w:r w:rsidRPr="00663FDC">
                    <w:rPr>
                      <w:rFonts w:ascii="Arial" w:eastAsiaTheme="minorEastAsia" w:hAnsi="Arial" w:cs="Arial"/>
                      <w:noProof/>
                      <w:lang w:eastAsia="en-GB"/>
                    </w:rPr>
                    <w:tab/>
                  </w:r>
                  <w:r w:rsidRPr="00663FDC">
                    <w:rPr>
                      <w:rStyle w:val="Hyperlink"/>
                      <w:rFonts w:ascii="Arial" w:hAnsi="Arial" w:cs="Arial"/>
                      <w:noProof/>
                    </w:rPr>
                    <w:t>Assumed capacity</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_Toc62550039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3</w:t>
                  </w:r>
                  <w:r w:rsidRPr="00663FDC">
                    <w:rPr>
                      <w:rFonts w:ascii="Arial" w:hAnsi="Arial" w:cs="Arial"/>
                      <w:noProof/>
                      <w:webHidden/>
                    </w:rPr>
                    <w:fldChar w:fldCharType="end"/>
                  </w:r>
                </w:hyperlink>
              </w:p>
              <w:p w14:paraId="1D7664ED" w14:textId="7BFCFB69" w:rsidR="00663FDC" w:rsidRPr="00663FDC" w:rsidRDefault="00663FDC">
                <w:pPr>
                  <w:pStyle w:val="TOC1"/>
                  <w:tabs>
                    <w:tab w:val="left" w:pos="440"/>
                    <w:tab w:val="right" w:leader="dot" w:pos="9016"/>
                  </w:tabs>
                  <w:rPr>
                    <w:rFonts w:ascii="Arial" w:eastAsiaTheme="minorEastAsia" w:hAnsi="Arial" w:cs="Arial"/>
                    <w:noProof/>
                    <w:lang w:eastAsia="en-GB"/>
                  </w:rPr>
                </w:pPr>
                <w:hyperlink w:anchor="_Toc62550040" w:history="1">
                  <w:r w:rsidRPr="00663FDC">
                    <w:rPr>
                      <w:rStyle w:val="Hyperlink"/>
                      <w:rFonts w:ascii="Arial" w:hAnsi="Arial" w:cs="Arial"/>
                      <w:noProof/>
                    </w:rPr>
                    <w:t>6.</w:t>
                  </w:r>
                  <w:r w:rsidRPr="00663FDC">
                    <w:rPr>
                      <w:rFonts w:ascii="Arial" w:eastAsiaTheme="minorEastAsia" w:hAnsi="Arial" w:cs="Arial"/>
                      <w:noProof/>
                      <w:lang w:eastAsia="en-GB"/>
                    </w:rPr>
                    <w:tab/>
                  </w:r>
                  <w:r w:rsidRPr="00663FDC">
                    <w:rPr>
                      <w:rStyle w:val="Hyperlink"/>
                      <w:rFonts w:ascii="Arial" w:hAnsi="Arial" w:cs="Arial"/>
                      <w:noProof/>
                    </w:rPr>
                    <w:t>Lacks Capacity</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_Toc62550040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4</w:t>
                  </w:r>
                  <w:r w:rsidRPr="00663FDC">
                    <w:rPr>
                      <w:rFonts w:ascii="Arial" w:hAnsi="Arial" w:cs="Arial"/>
                      <w:noProof/>
                      <w:webHidden/>
                    </w:rPr>
                    <w:fldChar w:fldCharType="end"/>
                  </w:r>
                </w:hyperlink>
              </w:p>
              <w:p w14:paraId="620A947D" w14:textId="402A1701" w:rsidR="00663FDC" w:rsidRPr="00663FDC" w:rsidRDefault="00663FDC">
                <w:pPr>
                  <w:pStyle w:val="TOC1"/>
                  <w:tabs>
                    <w:tab w:val="left" w:pos="440"/>
                    <w:tab w:val="right" w:leader="dot" w:pos="9016"/>
                  </w:tabs>
                  <w:rPr>
                    <w:rFonts w:ascii="Arial" w:eastAsiaTheme="minorEastAsia" w:hAnsi="Arial" w:cs="Arial"/>
                    <w:noProof/>
                    <w:lang w:eastAsia="en-GB"/>
                  </w:rPr>
                </w:pPr>
                <w:hyperlink w:anchor="_Toc62550041" w:history="1">
                  <w:r w:rsidRPr="00663FDC">
                    <w:rPr>
                      <w:rStyle w:val="Hyperlink"/>
                      <w:rFonts w:ascii="Arial" w:hAnsi="Arial" w:cs="Arial"/>
                      <w:noProof/>
                    </w:rPr>
                    <w:t>7.</w:t>
                  </w:r>
                  <w:r w:rsidRPr="00663FDC">
                    <w:rPr>
                      <w:rFonts w:ascii="Arial" w:eastAsiaTheme="minorEastAsia" w:hAnsi="Arial" w:cs="Arial"/>
                      <w:noProof/>
                      <w:lang w:eastAsia="en-GB"/>
                    </w:rPr>
                    <w:tab/>
                  </w:r>
                  <w:r w:rsidRPr="00663FDC">
                    <w:rPr>
                      <w:rStyle w:val="Hyperlink"/>
                      <w:rFonts w:ascii="Arial" w:hAnsi="Arial" w:cs="Arial"/>
                      <w:noProof/>
                    </w:rPr>
                    <w:t>Preventing Delay</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_Toc62550041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5</w:t>
                  </w:r>
                  <w:r w:rsidRPr="00663FDC">
                    <w:rPr>
                      <w:rFonts w:ascii="Arial" w:hAnsi="Arial" w:cs="Arial"/>
                      <w:noProof/>
                      <w:webHidden/>
                    </w:rPr>
                    <w:fldChar w:fldCharType="end"/>
                  </w:r>
                </w:hyperlink>
              </w:p>
              <w:p w14:paraId="4AEF68AF" w14:textId="7EA2AF68" w:rsidR="00663FDC" w:rsidRPr="00663FDC" w:rsidRDefault="00663FDC">
                <w:pPr>
                  <w:pStyle w:val="TOC1"/>
                  <w:tabs>
                    <w:tab w:val="left" w:pos="440"/>
                    <w:tab w:val="right" w:leader="dot" w:pos="9016"/>
                  </w:tabs>
                  <w:rPr>
                    <w:rFonts w:ascii="Arial" w:eastAsiaTheme="minorEastAsia" w:hAnsi="Arial" w:cs="Arial"/>
                    <w:noProof/>
                    <w:lang w:eastAsia="en-GB"/>
                  </w:rPr>
                </w:pPr>
                <w:hyperlink w:anchor="_Toc62550042" w:history="1">
                  <w:r w:rsidRPr="00663FDC">
                    <w:rPr>
                      <w:rStyle w:val="Hyperlink"/>
                      <w:rFonts w:ascii="Arial" w:hAnsi="Arial" w:cs="Arial"/>
                      <w:noProof/>
                    </w:rPr>
                    <w:t>8.</w:t>
                  </w:r>
                  <w:r w:rsidRPr="00663FDC">
                    <w:rPr>
                      <w:rFonts w:ascii="Arial" w:eastAsiaTheme="minorEastAsia" w:hAnsi="Arial" w:cs="Arial"/>
                      <w:noProof/>
                      <w:lang w:eastAsia="en-GB"/>
                    </w:rPr>
                    <w:tab/>
                  </w:r>
                  <w:r w:rsidRPr="00663FDC">
                    <w:rPr>
                      <w:rStyle w:val="Hyperlink"/>
                      <w:rFonts w:ascii="Arial" w:hAnsi="Arial" w:cs="Arial"/>
                      <w:noProof/>
                    </w:rPr>
                    <w:t>IMCA/Advocate</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_Toc62550042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5</w:t>
                  </w:r>
                  <w:r w:rsidRPr="00663FDC">
                    <w:rPr>
                      <w:rFonts w:ascii="Arial" w:hAnsi="Arial" w:cs="Arial"/>
                      <w:noProof/>
                      <w:webHidden/>
                    </w:rPr>
                    <w:fldChar w:fldCharType="end"/>
                  </w:r>
                </w:hyperlink>
              </w:p>
              <w:p w14:paraId="5D8FE347" w14:textId="4FF1177E" w:rsidR="00663FDC" w:rsidRPr="00663FDC" w:rsidRDefault="00663FDC">
                <w:pPr>
                  <w:pStyle w:val="TOC1"/>
                  <w:tabs>
                    <w:tab w:val="left" w:pos="440"/>
                    <w:tab w:val="right" w:leader="dot" w:pos="9016"/>
                  </w:tabs>
                  <w:rPr>
                    <w:rFonts w:ascii="Arial" w:eastAsiaTheme="minorEastAsia" w:hAnsi="Arial" w:cs="Arial"/>
                    <w:noProof/>
                    <w:lang w:eastAsia="en-GB"/>
                  </w:rPr>
                </w:pPr>
                <w:hyperlink w:anchor="_Toc62550043" w:history="1">
                  <w:r w:rsidRPr="00663FDC">
                    <w:rPr>
                      <w:rStyle w:val="Hyperlink"/>
                      <w:rFonts w:ascii="Arial" w:hAnsi="Arial" w:cs="Arial"/>
                      <w:noProof/>
                    </w:rPr>
                    <w:t>9.</w:t>
                  </w:r>
                  <w:r w:rsidRPr="00663FDC">
                    <w:rPr>
                      <w:rFonts w:ascii="Arial" w:eastAsiaTheme="minorEastAsia" w:hAnsi="Arial" w:cs="Arial"/>
                      <w:noProof/>
                      <w:lang w:eastAsia="en-GB"/>
                    </w:rPr>
                    <w:tab/>
                  </w:r>
                  <w:r w:rsidRPr="00663FDC">
                    <w:rPr>
                      <w:rStyle w:val="Hyperlink"/>
                      <w:rFonts w:ascii="Arial" w:hAnsi="Arial" w:cs="Arial"/>
                      <w:noProof/>
                    </w:rPr>
                    <w:t>Family Responsibilities</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_Toc62550043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5</w:t>
                  </w:r>
                  <w:r w:rsidRPr="00663FDC">
                    <w:rPr>
                      <w:rFonts w:ascii="Arial" w:hAnsi="Arial" w:cs="Arial"/>
                      <w:noProof/>
                      <w:webHidden/>
                    </w:rPr>
                    <w:fldChar w:fldCharType="end"/>
                  </w:r>
                </w:hyperlink>
              </w:p>
              <w:p w14:paraId="740F1599" w14:textId="6CE15A0C" w:rsidR="00663FDC" w:rsidRPr="00663FDC" w:rsidRDefault="00663FDC">
                <w:pPr>
                  <w:pStyle w:val="TOC1"/>
                  <w:tabs>
                    <w:tab w:val="left" w:pos="660"/>
                    <w:tab w:val="right" w:leader="dot" w:pos="9016"/>
                  </w:tabs>
                  <w:rPr>
                    <w:rFonts w:ascii="Arial" w:eastAsiaTheme="minorEastAsia" w:hAnsi="Arial" w:cs="Arial"/>
                    <w:noProof/>
                    <w:lang w:eastAsia="en-GB"/>
                  </w:rPr>
                </w:pPr>
                <w:hyperlink w:anchor="_Toc62550044" w:history="1">
                  <w:r w:rsidRPr="00663FDC">
                    <w:rPr>
                      <w:rStyle w:val="Hyperlink"/>
                      <w:rFonts w:ascii="Arial" w:hAnsi="Arial" w:cs="Arial"/>
                      <w:noProof/>
                    </w:rPr>
                    <w:t>10.</w:t>
                  </w:r>
                  <w:r>
                    <w:rPr>
                      <w:rStyle w:val="Hyperlink"/>
                      <w:rFonts w:ascii="Arial" w:hAnsi="Arial" w:cs="Arial"/>
                      <w:noProof/>
                    </w:rPr>
                    <w:t xml:space="preserve">  </w:t>
                  </w:r>
                  <w:r w:rsidRPr="00663FDC">
                    <w:rPr>
                      <w:rStyle w:val="Hyperlink"/>
                      <w:rFonts w:ascii="Arial" w:hAnsi="Arial" w:cs="Arial"/>
                      <w:noProof/>
                    </w:rPr>
                    <w:t>Housing Benefit</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_Toc62550044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6</w:t>
                  </w:r>
                  <w:r w:rsidRPr="00663FDC">
                    <w:rPr>
                      <w:rFonts w:ascii="Arial" w:hAnsi="Arial" w:cs="Arial"/>
                      <w:noProof/>
                      <w:webHidden/>
                    </w:rPr>
                    <w:fldChar w:fldCharType="end"/>
                  </w:r>
                </w:hyperlink>
              </w:p>
              <w:p w14:paraId="01BC83A0" w14:textId="7DAA6B8A" w:rsidR="00663FDC" w:rsidRPr="00663FDC" w:rsidRDefault="00663FDC">
                <w:pPr>
                  <w:pStyle w:val="TOC1"/>
                  <w:tabs>
                    <w:tab w:val="left" w:pos="660"/>
                    <w:tab w:val="right" w:leader="dot" w:pos="9016"/>
                  </w:tabs>
                  <w:rPr>
                    <w:rFonts w:ascii="Arial" w:eastAsiaTheme="minorEastAsia" w:hAnsi="Arial" w:cs="Arial"/>
                    <w:noProof/>
                    <w:lang w:eastAsia="en-GB"/>
                  </w:rPr>
                </w:pPr>
                <w:hyperlink w:anchor="_Toc62550045" w:history="1">
                  <w:r w:rsidRPr="00663FDC">
                    <w:rPr>
                      <w:rStyle w:val="Hyperlink"/>
                      <w:rFonts w:ascii="Arial" w:hAnsi="Arial" w:cs="Arial"/>
                      <w:noProof/>
                    </w:rPr>
                    <w:t>11.</w:t>
                  </w:r>
                  <w:r>
                    <w:rPr>
                      <w:rStyle w:val="Hyperlink"/>
                      <w:rFonts w:ascii="Arial" w:hAnsi="Arial" w:cs="Arial"/>
                      <w:noProof/>
                    </w:rPr>
                    <w:t xml:space="preserve">  </w:t>
                  </w:r>
                  <w:r w:rsidRPr="00663FDC">
                    <w:rPr>
                      <w:rStyle w:val="Hyperlink"/>
                      <w:rFonts w:ascii="Arial" w:hAnsi="Arial" w:cs="Arial"/>
                      <w:noProof/>
                    </w:rPr>
                    <w:t>Process when someone lacks capacity</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_Toc62550045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6</w:t>
                  </w:r>
                  <w:r w:rsidRPr="00663FDC">
                    <w:rPr>
                      <w:rFonts w:ascii="Arial" w:hAnsi="Arial" w:cs="Arial"/>
                      <w:noProof/>
                      <w:webHidden/>
                    </w:rPr>
                    <w:fldChar w:fldCharType="end"/>
                  </w:r>
                </w:hyperlink>
              </w:p>
              <w:p w14:paraId="38123A1D" w14:textId="157B1EC8" w:rsidR="00663FDC" w:rsidRPr="00663FDC" w:rsidRDefault="00663FDC">
                <w:pPr>
                  <w:pStyle w:val="TOC1"/>
                  <w:tabs>
                    <w:tab w:val="right" w:leader="dot" w:pos="9016"/>
                  </w:tabs>
                  <w:rPr>
                    <w:rFonts w:ascii="Arial" w:eastAsiaTheme="minorEastAsia" w:hAnsi="Arial" w:cs="Arial"/>
                    <w:noProof/>
                    <w:lang w:eastAsia="en-GB"/>
                  </w:rPr>
                </w:pPr>
                <w:hyperlink w:anchor="_Toc62550046" w:history="1">
                  <w:r w:rsidRPr="00663FDC">
                    <w:rPr>
                      <w:rStyle w:val="Hyperlink"/>
                      <w:rFonts w:ascii="Arial" w:hAnsi="Arial" w:cs="Arial"/>
                      <w:noProof/>
                    </w:rPr>
                    <w:t>References</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_Toc62550046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7</w:t>
                  </w:r>
                  <w:r w:rsidRPr="00663FDC">
                    <w:rPr>
                      <w:rFonts w:ascii="Arial" w:hAnsi="Arial" w:cs="Arial"/>
                      <w:noProof/>
                      <w:webHidden/>
                    </w:rPr>
                    <w:fldChar w:fldCharType="end"/>
                  </w:r>
                </w:hyperlink>
              </w:p>
              <w:p w14:paraId="2E4C2BBA" w14:textId="02B039C3" w:rsidR="00663FDC" w:rsidRPr="00663FDC" w:rsidRDefault="00663FDC">
                <w:pPr>
                  <w:pStyle w:val="TOC1"/>
                  <w:tabs>
                    <w:tab w:val="right" w:leader="dot" w:pos="9016"/>
                  </w:tabs>
                  <w:rPr>
                    <w:rFonts w:ascii="Arial" w:eastAsiaTheme="minorEastAsia" w:hAnsi="Arial" w:cs="Arial"/>
                    <w:noProof/>
                    <w:lang w:eastAsia="en-GB"/>
                  </w:rPr>
                </w:pPr>
                <w:hyperlink w:anchor="_Toc62550047" w:history="1">
                  <w:r w:rsidRPr="00663FDC">
                    <w:rPr>
                      <w:rStyle w:val="Hyperlink"/>
                      <w:rFonts w:ascii="Arial" w:hAnsi="Arial" w:cs="Arial"/>
                      <w:noProof/>
                    </w:rPr>
                    <w:t>Appendix 1</w:t>
                  </w:r>
                  <w:r w:rsidRPr="00663FDC">
                    <w:rPr>
                      <w:rFonts w:ascii="Arial" w:hAnsi="Arial" w:cs="Arial"/>
                      <w:noProof/>
                      <w:webHidden/>
                    </w:rPr>
                    <w:tab/>
                  </w:r>
                  <w:r w:rsidRPr="00663FDC">
                    <w:rPr>
                      <w:rFonts w:ascii="Arial" w:hAnsi="Arial" w:cs="Arial"/>
                      <w:noProof/>
                      <w:webHidden/>
                    </w:rPr>
                    <w:fldChar w:fldCharType="begin"/>
                  </w:r>
                  <w:r w:rsidRPr="00663FDC">
                    <w:rPr>
                      <w:rFonts w:ascii="Arial" w:hAnsi="Arial" w:cs="Arial"/>
                      <w:noProof/>
                      <w:webHidden/>
                    </w:rPr>
                    <w:instrText xml:space="preserve"> PAGEREF _Toc62550047 \h </w:instrText>
                  </w:r>
                  <w:r w:rsidRPr="00663FDC">
                    <w:rPr>
                      <w:rFonts w:ascii="Arial" w:hAnsi="Arial" w:cs="Arial"/>
                      <w:noProof/>
                      <w:webHidden/>
                    </w:rPr>
                  </w:r>
                  <w:r w:rsidRPr="00663FDC">
                    <w:rPr>
                      <w:rFonts w:ascii="Arial" w:hAnsi="Arial" w:cs="Arial"/>
                      <w:noProof/>
                      <w:webHidden/>
                    </w:rPr>
                    <w:fldChar w:fldCharType="separate"/>
                  </w:r>
                  <w:r w:rsidRPr="00663FDC">
                    <w:rPr>
                      <w:rFonts w:ascii="Arial" w:hAnsi="Arial" w:cs="Arial"/>
                      <w:noProof/>
                      <w:webHidden/>
                    </w:rPr>
                    <w:t>9</w:t>
                  </w:r>
                  <w:r w:rsidRPr="00663FDC">
                    <w:rPr>
                      <w:rFonts w:ascii="Arial" w:hAnsi="Arial" w:cs="Arial"/>
                      <w:noProof/>
                      <w:webHidden/>
                    </w:rPr>
                    <w:fldChar w:fldCharType="end"/>
                  </w:r>
                </w:hyperlink>
              </w:p>
              <w:p w14:paraId="3D2CE6BB" w14:textId="0301FE0C" w:rsidR="0075015C" w:rsidRPr="002E7811" w:rsidRDefault="0075015C">
                <w:pPr>
                  <w:rPr>
                    <w:rFonts w:ascii="Arial" w:hAnsi="Arial" w:cs="Arial"/>
                  </w:rPr>
                </w:pPr>
                <w:r w:rsidRPr="002E7811">
                  <w:rPr>
                    <w:rFonts w:ascii="Arial" w:hAnsi="Arial" w:cs="Arial"/>
                    <w:b/>
                    <w:bCs/>
                    <w:noProof/>
                  </w:rPr>
                  <w:fldChar w:fldCharType="end"/>
                </w:r>
              </w:p>
            </w:sdtContent>
          </w:sdt>
          <w:p w14:paraId="7E9C6FF1" w14:textId="77777777" w:rsidR="00214303" w:rsidRDefault="00214303" w:rsidP="00A4399C">
            <w:pPr>
              <w:pStyle w:val="BodyText"/>
              <w:tabs>
                <w:tab w:val="left" w:pos="547"/>
              </w:tabs>
              <w:ind w:left="0" w:right="118" w:firstLine="0"/>
              <w:jc w:val="both"/>
              <w:rPr>
                <w:sz w:val="22"/>
              </w:rPr>
            </w:pPr>
          </w:p>
          <w:p w14:paraId="527F72DA" w14:textId="77777777" w:rsidR="00214303" w:rsidRDefault="00214303" w:rsidP="00A4399C">
            <w:pPr>
              <w:tabs>
                <w:tab w:val="left" w:pos="3135"/>
              </w:tabs>
              <w:jc w:val="both"/>
              <w:rPr>
                <w:rFonts w:ascii="Arial" w:hAnsi="Arial" w:cs="Arial"/>
                <w:sz w:val="24"/>
                <w:szCs w:val="24"/>
              </w:rPr>
            </w:pPr>
          </w:p>
          <w:p w14:paraId="7E65EA3C" w14:textId="77777777" w:rsidR="0075015C" w:rsidRDefault="0075015C" w:rsidP="00A4399C">
            <w:pPr>
              <w:tabs>
                <w:tab w:val="left" w:pos="3135"/>
              </w:tabs>
              <w:jc w:val="both"/>
              <w:rPr>
                <w:rFonts w:ascii="Arial" w:hAnsi="Arial" w:cs="Arial"/>
                <w:sz w:val="24"/>
                <w:szCs w:val="24"/>
              </w:rPr>
            </w:pPr>
          </w:p>
          <w:p w14:paraId="26D80638" w14:textId="77777777" w:rsidR="0075015C" w:rsidRDefault="0075015C" w:rsidP="00A4399C">
            <w:pPr>
              <w:tabs>
                <w:tab w:val="left" w:pos="3135"/>
              </w:tabs>
              <w:jc w:val="both"/>
              <w:rPr>
                <w:rFonts w:ascii="Arial" w:hAnsi="Arial" w:cs="Arial"/>
                <w:sz w:val="24"/>
                <w:szCs w:val="24"/>
              </w:rPr>
            </w:pPr>
          </w:p>
          <w:p w14:paraId="48736716" w14:textId="77777777" w:rsidR="0075015C" w:rsidRDefault="0075015C" w:rsidP="00A4399C">
            <w:pPr>
              <w:tabs>
                <w:tab w:val="left" w:pos="3135"/>
              </w:tabs>
              <w:jc w:val="both"/>
              <w:rPr>
                <w:rFonts w:ascii="Arial" w:hAnsi="Arial" w:cs="Arial"/>
                <w:sz w:val="24"/>
                <w:szCs w:val="24"/>
              </w:rPr>
            </w:pPr>
          </w:p>
          <w:p w14:paraId="0E46A18B" w14:textId="77777777" w:rsidR="0075015C" w:rsidRDefault="0075015C" w:rsidP="00A4399C">
            <w:pPr>
              <w:tabs>
                <w:tab w:val="left" w:pos="3135"/>
              </w:tabs>
              <w:jc w:val="both"/>
              <w:rPr>
                <w:rFonts w:ascii="Arial" w:hAnsi="Arial" w:cs="Arial"/>
                <w:sz w:val="24"/>
                <w:szCs w:val="24"/>
              </w:rPr>
            </w:pPr>
          </w:p>
          <w:p w14:paraId="46B01036" w14:textId="77777777" w:rsidR="0075015C" w:rsidRDefault="0075015C" w:rsidP="00A4399C">
            <w:pPr>
              <w:tabs>
                <w:tab w:val="left" w:pos="3135"/>
              </w:tabs>
              <w:jc w:val="both"/>
              <w:rPr>
                <w:rFonts w:ascii="Arial" w:hAnsi="Arial" w:cs="Arial"/>
                <w:sz w:val="24"/>
                <w:szCs w:val="24"/>
              </w:rPr>
            </w:pPr>
          </w:p>
          <w:p w14:paraId="6B6AC2BA" w14:textId="77777777" w:rsidR="0075015C" w:rsidRDefault="0075015C" w:rsidP="00A4399C">
            <w:pPr>
              <w:tabs>
                <w:tab w:val="left" w:pos="3135"/>
              </w:tabs>
              <w:jc w:val="both"/>
              <w:rPr>
                <w:rFonts w:ascii="Arial" w:hAnsi="Arial" w:cs="Arial"/>
                <w:sz w:val="24"/>
                <w:szCs w:val="24"/>
              </w:rPr>
            </w:pPr>
          </w:p>
          <w:p w14:paraId="79BD54F9" w14:textId="77777777" w:rsidR="0075015C" w:rsidRDefault="0075015C" w:rsidP="00A4399C">
            <w:pPr>
              <w:tabs>
                <w:tab w:val="left" w:pos="3135"/>
              </w:tabs>
              <w:jc w:val="both"/>
              <w:rPr>
                <w:rFonts w:ascii="Arial" w:hAnsi="Arial" w:cs="Arial"/>
                <w:sz w:val="24"/>
                <w:szCs w:val="24"/>
              </w:rPr>
            </w:pPr>
          </w:p>
          <w:p w14:paraId="6F71DAF3" w14:textId="77777777" w:rsidR="0075015C" w:rsidRDefault="0075015C" w:rsidP="00A4399C">
            <w:pPr>
              <w:tabs>
                <w:tab w:val="left" w:pos="3135"/>
              </w:tabs>
              <w:jc w:val="both"/>
              <w:rPr>
                <w:rFonts w:ascii="Arial" w:hAnsi="Arial" w:cs="Arial"/>
                <w:sz w:val="24"/>
                <w:szCs w:val="24"/>
              </w:rPr>
            </w:pPr>
          </w:p>
          <w:p w14:paraId="7DE99E46" w14:textId="77777777" w:rsidR="0075015C" w:rsidRDefault="0075015C" w:rsidP="00A4399C">
            <w:pPr>
              <w:tabs>
                <w:tab w:val="left" w:pos="3135"/>
              </w:tabs>
              <w:jc w:val="both"/>
              <w:rPr>
                <w:rFonts w:ascii="Arial" w:hAnsi="Arial" w:cs="Arial"/>
                <w:sz w:val="24"/>
                <w:szCs w:val="24"/>
              </w:rPr>
            </w:pPr>
          </w:p>
          <w:p w14:paraId="0669E955" w14:textId="77777777" w:rsidR="0075015C" w:rsidRDefault="0075015C" w:rsidP="00A4399C">
            <w:pPr>
              <w:tabs>
                <w:tab w:val="left" w:pos="3135"/>
              </w:tabs>
              <w:jc w:val="both"/>
              <w:rPr>
                <w:rFonts w:ascii="Arial" w:hAnsi="Arial" w:cs="Arial"/>
                <w:sz w:val="24"/>
                <w:szCs w:val="24"/>
              </w:rPr>
            </w:pPr>
          </w:p>
          <w:p w14:paraId="282905C5" w14:textId="77777777" w:rsidR="0075015C" w:rsidRDefault="0075015C" w:rsidP="00A4399C">
            <w:pPr>
              <w:tabs>
                <w:tab w:val="left" w:pos="3135"/>
              </w:tabs>
              <w:jc w:val="both"/>
              <w:rPr>
                <w:rFonts w:ascii="Arial" w:hAnsi="Arial" w:cs="Arial"/>
                <w:sz w:val="24"/>
                <w:szCs w:val="24"/>
              </w:rPr>
            </w:pPr>
          </w:p>
          <w:p w14:paraId="48CF30A1" w14:textId="77777777" w:rsidR="0075015C" w:rsidRDefault="0075015C" w:rsidP="00A4399C">
            <w:pPr>
              <w:tabs>
                <w:tab w:val="left" w:pos="3135"/>
              </w:tabs>
              <w:jc w:val="both"/>
              <w:rPr>
                <w:rFonts w:ascii="Arial" w:hAnsi="Arial" w:cs="Arial"/>
                <w:sz w:val="24"/>
                <w:szCs w:val="24"/>
              </w:rPr>
            </w:pPr>
          </w:p>
          <w:p w14:paraId="4F897711" w14:textId="77777777" w:rsidR="0075015C" w:rsidRDefault="0075015C" w:rsidP="00A4399C">
            <w:pPr>
              <w:tabs>
                <w:tab w:val="left" w:pos="3135"/>
              </w:tabs>
              <w:jc w:val="both"/>
              <w:rPr>
                <w:rFonts w:ascii="Arial" w:hAnsi="Arial" w:cs="Arial"/>
                <w:sz w:val="24"/>
                <w:szCs w:val="24"/>
              </w:rPr>
            </w:pPr>
          </w:p>
          <w:p w14:paraId="67A99433" w14:textId="77777777" w:rsidR="00214303" w:rsidRDefault="00214303" w:rsidP="00A4399C">
            <w:pPr>
              <w:tabs>
                <w:tab w:val="left" w:pos="3135"/>
              </w:tabs>
              <w:jc w:val="both"/>
              <w:rPr>
                <w:rFonts w:ascii="Arial" w:hAnsi="Arial" w:cs="Arial"/>
                <w:sz w:val="24"/>
                <w:szCs w:val="24"/>
              </w:rPr>
            </w:pPr>
          </w:p>
          <w:p w14:paraId="6FA75E3D" w14:textId="07E3AE99" w:rsidR="00214303" w:rsidRDefault="00214303" w:rsidP="00A4399C">
            <w:pPr>
              <w:pStyle w:val="BodyText"/>
              <w:tabs>
                <w:tab w:val="left" w:pos="547"/>
              </w:tabs>
              <w:ind w:left="0" w:right="118" w:firstLine="0"/>
              <w:jc w:val="both"/>
              <w:rPr>
                <w:sz w:val="22"/>
              </w:rPr>
            </w:pPr>
          </w:p>
          <w:p w14:paraId="44ADD8EE" w14:textId="68AFEBE5" w:rsidR="00DF309C" w:rsidRDefault="00DF309C" w:rsidP="00A4399C">
            <w:pPr>
              <w:pStyle w:val="BodyText"/>
              <w:tabs>
                <w:tab w:val="left" w:pos="547"/>
              </w:tabs>
              <w:ind w:left="0" w:right="118" w:firstLine="0"/>
              <w:jc w:val="both"/>
              <w:rPr>
                <w:sz w:val="22"/>
              </w:rPr>
            </w:pPr>
          </w:p>
          <w:p w14:paraId="3FF9AEAC" w14:textId="28DA3F4D" w:rsidR="00DF309C" w:rsidRDefault="00DF309C" w:rsidP="00A4399C">
            <w:pPr>
              <w:pStyle w:val="BodyText"/>
              <w:tabs>
                <w:tab w:val="left" w:pos="547"/>
              </w:tabs>
              <w:ind w:left="0" w:right="118" w:firstLine="0"/>
              <w:jc w:val="both"/>
              <w:rPr>
                <w:sz w:val="22"/>
              </w:rPr>
            </w:pPr>
          </w:p>
          <w:p w14:paraId="57BB45D6" w14:textId="2BB12975" w:rsidR="00DF309C" w:rsidRDefault="00DF309C" w:rsidP="00A4399C">
            <w:pPr>
              <w:pStyle w:val="BodyText"/>
              <w:tabs>
                <w:tab w:val="left" w:pos="547"/>
              </w:tabs>
              <w:ind w:left="0" w:right="118" w:firstLine="0"/>
              <w:jc w:val="both"/>
              <w:rPr>
                <w:sz w:val="22"/>
              </w:rPr>
            </w:pPr>
          </w:p>
          <w:p w14:paraId="4690446C" w14:textId="3E75698C" w:rsidR="00DF309C" w:rsidRDefault="00DF309C" w:rsidP="00A4399C">
            <w:pPr>
              <w:pStyle w:val="BodyText"/>
              <w:tabs>
                <w:tab w:val="left" w:pos="547"/>
              </w:tabs>
              <w:ind w:left="0" w:right="118" w:firstLine="0"/>
              <w:jc w:val="both"/>
              <w:rPr>
                <w:sz w:val="22"/>
              </w:rPr>
            </w:pPr>
          </w:p>
          <w:p w14:paraId="395EF20E" w14:textId="5A712275" w:rsidR="00DF309C" w:rsidRDefault="00DF309C" w:rsidP="00A4399C">
            <w:pPr>
              <w:pStyle w:val="BodyText"/>
              <w:tabs>
                <w:tab w:val="left" w:pos="547"/>
              </w:tabs>
              <w:ind w:left="0" w:right="118" w:firstLine="0"/>
              <w:jc w:val="both"/>
              <w:rPr>
                <w:sz w:val="22"/>
              </w:rPr>
            </w:pPr>
          </w:p>
          <w:p w14:paraId="4143B5D3" w14:textId="77777777" w:rsidR="00DF309C" w:rsidRDefault="00DF309C" w:rsidP="00A4399C">
            <w:pPr>
              <w:pStyle w:val="BodyText"/>
              <w:tabs>
                <w:tab w:val="left" w:pos="547"/>
              </w:tabs>
              <w:ind w:left="0" w:right="118" w:firstLine="0"/>
              <w:jc w:val="both"/>
              <w:rPr>
                <w:sz w:val="22"/>
              </w:rPr>
            </w:pPr>
          </w:p>
          <w:p w14:paraId="02D731B7" w14:textId="77777777" w:rsidR="00214303" w:rsidRDefault="00214303" w:rsidP="00A4399C">
            <w:pPr>
              <w:pStyle w:val="BodyText"/>
              <w:tabs>
                <w:tab w:val="left" w:pos="547"/>
              </w:tabs>
              <w:ind w:left="0" w:right="118" w:firstLine="0"/>
              <w:jc w:val="both"/>
              <w:rPr>
                <w:sz w:val="22"/>
              </w:rPr>
            </w:pPr>
          </w:p>
          <w:p w14:paraId="149AEE28" w14:textId="77777777" w:rsidR="00214303" w:rsidRDefault="00214303" w:rsidP="00A4399C">
            <w:pPr>
              <w:pStyle w:val="BodyText"/>
              <w:tabs>
                <w:tab w:val="left" w:pos="547"/>
              </w:tabs>
              <w:ind w:left="0" w:right="118" w:firstLine="0"/>
              <w:jc w:val="both"/>
              <w:rPr>
                <w:sz w:val="22"/>
              </w:rPr>
            </w:pPr>
          </w:p>
          <w:p w14:paraId="16AF429D" w14:textId="77777777" w:rsidR="00214303" w:rsidRDefault="00214303" w:rsidP="00A4399C">
            <w:pPr>
              <w:pStyle w:val="BodyText"/>
              <w:tabs>
                <w:tab w:val="left" w:pos="547"/>
              </w:tabs>
              <w:ind w:left="0" w:right="118" w:firstLine="0"/>
              <w:jc w:val="both"/>
              <w:rPr>
                <w:sz w:val="22"/>
              </w:rPr>
            </w:pPr>
          </w:p>
          <w:p w14:paraId="5C9B2F7D" w14:textId="77777777" w:rsidR="00901826" w:rsidRDefault="00901826" w:rsidP="00A4399C">
            <w:pPr>
              <w:pStyle w:val="BodyText"/>
              <w:tabs>
                <w:tab w:val="left" w:pos="547"/>
              </w:tabs>
              <w:ind w:left="0" w:right="118" w:firstLine="0"/>
              <w:jc w:val="both"/>
              <w:rPr>
                <w:sz w:val="22"/>
              </w:rPr>
            </w:pPr>
          </w:p>
        </w:tc>
      </w:tr>
      <w:tr w:rsidR="00663FDC" w14:paraId="43F3BFF0" w14:textId="77777777" w:rsidTr="007245AC">
        <w:trPr>
          <w:trHeight w:val="567"/>
        </w:trPr>
        <w:tc>
          <w:tcPr>
            <w:tcW w:w="8169" w:type="dxa"/>
          </w:tcPr>
          <w:p w14:paraId="42940795" w14:textId="77777777" w:rsidR="00663FDC" w:rsidRDefault="00663FDC" w:rsidP="00A4399C">
            <w:pPr>
              <w:pStyle w:val="BodyText"/>
              <w:tabs>
                <w:tab w:val="left" w:pos="547"/>
              </w:tabs>
              <w:ind w:left="0" w:right="118" w:firstLine="0"/>
              <w:jc w:val="both"/>
              <w:rPr>
                <w:sz w:val="22"/>
              </w:rPr>
            </w:pPr>
          </w:p>
        </w:tc>
      </w:tr>
    </w:tbl>
    <w:p w14:paraId="01C4C80F" w14:textId="77777777" w:rsidR="00405535" w:rsidRDefault="00405535" w:rsidP="00A4399C">
      <w:pPr>
        <w:pStyle w:val="NoSpacing"/>
        <w:jc w:val="both"/>
        <w:rPr>
          <w:b/>
        </w:rPr>
      </w:pPr>
    </w:p>
    <w:p w14:paraId="753B9C92" w14:textId="77777777" w:rsidR="00901826" w:rsidRPr="00017F78" w:rsidRDefault="00901826" w:rsidP="007245AC">
      <w:pPr>
        <w:pStyle w:val="Heading1"/>
        <w:jc w:val="left"/>
      </w:pPr>
      <w:bookmarkStart w:id="0" w:name="_Toc62550035"/>
      <w:r w:rsidRPr="00017F78">
        <w:t>Purpose</w:t>
      </w:r>
      <w:bookmarkEnd w:id="0"/>
    </w:p>
    <w:p w14:paraId="0AF284EE" w14:textId="77777777" w:rsidR="00CA745D" w:rsidRDefault="00CA745D" w:rsidP="007245AC">
      <w:pPr>
        <w:pStyle w:val="ListParagraph"/>
        <w:ind w:left="284"/>
        <w:rPr>
          <w:rFonts w:ascii="Arial" w:hAnsi="Arial" w:cs="Arial"/>
          <w:sz w:val="24"/>
          <w:szCs w:val="24"/>
        </w:rPr>
      </w:pPr>
    </w:p>
    <w:p w14:paraId="6C3E4447" w14:textId="77777777" w:rsidR="00663FDC" w:rsidRDefault="00B850AF" w:rsidP="007245AC">
      <w:pPr>
        <w:pStyle w:val="ListParagraph"/>
        <w:numPr>
          <w:ilvl w:val="1"/>
          <w:numId w:val="16"/>
        </w:numPr>
        <w:ind w:left="567" w:hanging="715"/>
        <w:rPr>
          <w:rFonts w:ascii="Arial" w:hAnsi="Arial" w:cs="Arial"/>
          <w:sz w:val="24"/>
          <w:szCs w:val="24"/>
        </w:rPr>
      </w:pPr>
      <w:r w:rsidRPr="009D3911">
        <w:rPr>
          <w:rFonts w:ascii="Arial" w:hAnsi="Arial" w:cs="Arial"/>
          <w:sz w:val="24"/>
          <w:szCs w:val="24"/>
        </w:rPr>
        <w:t>T</w:t>
      </w:r>
      <w:r w:rsidR="004F11F0">
        <w:rPr>
          <w:rFonts w:ascii="Arial" w:hAnsi="Arial" w:cs="Arial"/>
          <w:sz w:val="24"/>
          <w:szCs w:val="24"/>
        </w:rPr>
        <w:t xml:space="preserve">his </w:t>
      </w:r>
      <w:r w:rsidR="00CF36F8">
        <w:rPr>
          <w:rFonts w:ascii="Arial" w:hAnsi="Arial" w:cs="Arial"/>
          <w:sz w:val="24"/>
          <w:szCs w:val="24"/>
        </w:rPr>
        <w:t>document</w:t>
      </w:r>
      <w:r w:rsidR="005D5A5F">
        <w:rPr>
          <w:rFonts w:ascii="Arial" w:hAnsi="Arial" w:cs="Arial"/>
          <w:sz w:val="24"/>
          <w:szCs w:val="24"/>
        </w:rPr>
        <w:t xml:space="preserve"> </w:t>
      </w:r>
      <w:r w:rsidR="005D5A5F" w:rsidRPr="009D3911">
        <w:rPr>
          <w:rFonts w:ascii="Arial" w:hAnsi="Arial" w:cs="Arial"/>
          <w:sz w:val="24"/>
          <w:szCs w:val="24"/>
        </w:rPr>
        <w:t>sets</w:t>
      </w:r>
      <w:r w:rsidRPr="009D3911">
        <w:rPr>
          <w:rFonts w:ascii="Arial" w:hAnsi="Arial" w:cs="Arial"/>
          <w:sz w:val="24"/>
          <w:szCs w:val="24"/>
        </w:rPr>
        <w:t xml:space="preserve"> out the guidance for staff working</w:t>
      </w:r>
      <w:r w:rsidR="00CA745D">
        <w:rPr>
          <w:rFonts w:ascii="Arial" w:hAnsi="Arial" w:cs="Arial"/>
          <w:sz w:val="24"/>
          <w:szCs w:val="24"/>
        </w:rPr>
        <w:t xml:space="preserve"> </w:t>
      </w:r>
      <w:r w:rsidR="009E3E2F">
        <w:rPr>
          <w:rFonts w:ascii="Arial" w:hAnsi="Arial" w:cs="Arial"/>
          <w:sz w:val="24"/>
          <w:szCs w:val="24"/>
        </w:rPr>
        <w:t>in Supporting People</w:t>
      </w:r>
      <w:r w:rsidR="004F11F0">
        <w:rPr>
          <w:rFonts w:ascii="Arial" w:hAnsi="Arial" w:cs="Arial"/>
          <w:sz w:val="24"/>
          <w:szCs w:val="24"/>
        </w:rPr>
        <w:t xml:space="preserve"> including </w:t>
      </w:r>
    </w:p>
    <w:p w14:paraId="5A31E6FD" w14:textId="77777777" w:rsidR="00663FDC" w:rsidRDefault="00B850AF" w:rsidP="007245AC">
      <w:pPr>
        <w:pStyle w:val="ListParagraph"/>
        <w:numPr>
          <w:ilvl w:val="2"/>
          <w:numId w:val="16"/>
        </w:numPr>
        <w:ind w:left="993" w:hanging="290"/>
        <w:rPr>
          <w:rFonts w:ascii="Arial" w:hAnsi="Arial" w:cs="Arial"/>
          <w:sz w:val="24"/>
          <w:szCs w:val="24"/>
        </w:rPr>
      </w:pPr>
      <w:r w:rsidRPr="009D3911">
        <w:rPr>
          <w:rFonts w:ascii="Arial" w:hAnsi="Arial" w:cs="Arial"/>
          <w:sz w:val="24"/>
          <w:szCs w:val="24"/>
        </w:rPr>
        <w:t>Camden Learning Disability Service (CLDS)</w:t>
      </w:r>
      <w:r w:rsidR="00705196">
        <w:rPr>
          <w:rFonts w:ascii="Arial" w:hAnsi="Arial" w:cs="Arial"/>
          <w:sz w:val="24"/>
          <w:szCs w:val="24"/>
        </w:rPr>
        <w:t xml:space="preserve">, </w:t>
      </w:r>
    </w:p>
    <w:p w14:paraId="19A0661C" w14:textId="77777777" w:rsidR="00663FDC" w:rsidRDefault="00B850AF" w:rsidP="007245AC">
      <w:pPr>
        <w:pStyle w:val="ListParagraph"/>
        <w:numPr>
          <w:ilvl w:val="2"/>
          <w:numId w:val="16"/>
        </w:numPr>
        <w:ind w:left="993" w:hanging="290"/>
        <w:rPr>
          <w:rFonts w:ascii="Arial" w:hAnsi="Arial" w:cs="Arial"/>
          <w:sz w:val="24"/>
          <w:szCs w:val="24"/>
        </w:rPr>
      </w:pPr>
      <w:r w:rsidRPr="009D3911">
        <w:rPr>
          <w:rFonts w:ascii="Arial" w:hAnsi="Arial" w:cs="Arial"/>
          <w:sz w:val="24"/>
          <w:szCs w:val="24"/>
        </w:rPr>
        <w:t>L</w:t>
      </w:r>
      <w:r w:rsidR="00F346F6" w:rsidRPr="009D3911">
        <w:rPr>
          <w:rFonts w:ascii="Arial" w:hAnsi="Arial" w:cs="Arial"/>
          <w:sz w:val="24"/>
          <w:szCs w:val="24"/>
        </w:rPr>
        <w:t xml:space="preserve">ondon </w:t>
      </w:r>
      <w:r w:rsidRPr="009D3911">
        <w:rPr>
          <w:rFonts w:ascii="Arial" w:hAnsi="Arial" w:cs="Arial"/>
          <w:sz w:val="24"/>
          <w:szCs w:val="24"/>
        </w:rPr>
        <w:t>B</w:t>
      </w:r>
      <w:r w:rsidR="00F346F6" w:rsidRPr="009D3911">
        <w:rPr>
          <w:rFonts w:ascii="Arial" w:hAnsi="Arial" w:cs="Arial"/>
          <w:sz w:val="24"/>
          <w:szCs w:val="24"/>
        </w:rPr>
        <w:t xml:space="preserve">orough of </w:t>
      </w:r>
      <w:r w:rsidRPr="009D3911">
        <w:rPr>
          <w:rFonts w:ascii="Arial" w:hAnsi="Arial" w:cs="Arial"/>
          <w:sz w:val="24"/>
          <w:szCs w:val="24"/>
        </w:rPr>
        <w:t>C</w:t>
      </w:r>
      <w:r w:rsidR="00F346F6" w:rsidRPr="009D3911">
        <w:rPr>
          <w:rFonts w:ascii="Arial" w:hAnsi="Arial" w:cs="Arial"/>
          <w:sz w:val="24"/>
          <w:szCs w:val="24"/>
        </w:rPr>
        <w:t>amden (LBC)</w:t>
      </w:r>
    </w:p>
    <w:p w14:paraId="403E2C84" w14:textId="575A4C1A" w:rsidR="00663FDC" w:rsidRDefault="00705196" w:rsidP="007245AC">
      <w:pPr>
        <w:pStyle w:val="ListParagraph"/>
        <w:numPr>
          <w:ilvl w:val="2"/>
          <w:numId w:val="16"/>
        </w:numPr>
        <w:ind w:left="993" w:hanging="290"/>
        <w:rPr>
          <w:rFonts w:ascii="Arial" w:hAnsi="Arial" w:cs="Arial"/>
          <w:sz w:val="24"/>
          <w:szCs w:val="24"/>
        </w:rPr>
      </w:pPr>
      <w:r>
        <w:rPr>
          <w:rFonts w:ascii="Arial" w:hAnsi="Arial" w:cs="Arial"/>
          <w:sz w:val="24"/>
          <w:szCs w:val="24"/>
        </w:rPr>
        <w:t>Camden and</w:t>
      </w:r>
      <w:r w:rsidR="00B850AF" w:rsidRPr="009D3911">
        <w:rPr>
          <w:rFonts w:ascii="Arial" w:hAnsi="Arial" w:cs="Arial"/>
          <w:sz w:val="24"/>
          <w:szCs w:val="24"/>
        </w:rPr>
        <w:t xml:space="preserve"> Islington Mental Health Trust (C&amp;I) </w:t>
      </w:r>
    </w:p>
    <w:p w14:paraId="14E25AA2" w14:textId="6A61860D" w:rsidR="00B850AF" w:rsidRPr="00F9374B" w:rsidRDefault="00663FDC" w:rsidP="007245AC">
      <w:pPr>
        <w:pStyle w:val="ListParagraph"/>
        <w:numPr>
          <w:ilvl w:val="1"/>
          <w:numId w:val="16"/>
        </w:numPr>
        <w:ind w:left="567" w:hanging="715"/>
        <w:rPr>
          <w:rFonts w:ascii="Arial" w:hAnsi="Arial" w:cs="Arial"/>
          <w:sz w:val="24"/>
          <w:szCs w:val="24"/>
        </w:rPr>
      </w:pPr>
      <w:r w:rsidRPr="00F9374B">
        <w:rPr>
          <w:rFonts w:ascii="Arial" w:hAnsi="Arial" w:cs="Arial"/>
          <w:sz w:val="24"/>
          <w:szCs w:val="24"/>
        </w:rPr>
        <w:t xml:space="preserve">The guidance applies to staff supporting </w:t>
      </w:r>
      <w:r w:rsidR="00B850AF" w:rsidRPr="00F9374B">
        <w:rPr>
          <w:rFonts w:ascii="Arial" w:hAnsi="Arial" w:cs="Arial"/>
          <w:sz w:val="24"/>
          <w:szCs w:val="24"/>
        </w:rPr>
        <w:t>individuals who require assistance with starti</w:t>
      </w:r>
      <w:r w:rsidRPr="00F9374B">
        <w:rPr>
          <w:rFonts w:ascii="Arial" w:hAnsi="Arial" w:cs="Arial"/>
          <w:sz w:val="24"/>
          <w:szCs w:val="24"/>
        </w:rPr>
        <w:t>ng or ending a tenancy including</w:t>
      </w:r>
      <w:r w:rsidR="00B850AF" w:rsidRPr="00F9374B">
        <w:rPr>
          <w:rFonts w:ascii="Arial" w:hAnsi="Arial" w:cs="Arial"/>
          <w:sz w:val="24"/>
          <w:szCs w:val="24"/>
        </w:rPr>
        <w:t xml:space="preserve"> people who lack mental capacity</w:t>
      </w:r>
      <w:r w:rsidR="00416B63" w:rsidRPr="00F9374B">
        <w:rPr>
          <w:rFonts w:ascii="Arial" w:hAnsi="Arial" w:cs="Arial"/>
          <w:sz w:val="24"/>
          <w:szCs w:val="24"/>
        </w:rPr>
        <w:t>.</w:t>
      </w:r>
    </w:p>
    <w:p w14:paraId="4ABBA6DB" w14:textId="77777777" w:rsidR="00B850AF" w:rsidRPr="00017F78" w:rsidRDefault="00B850AF" w:rsidP="007245AC">
      <w:pPr>
        <w:pStyle w:val="NoSpacing"/>
        <w:ind w:left="567" w:hanging="715"/>
      </w:pPr>
    </w:p>
    <w:p w14:paraId="1BFD0DA1" w14:textId="77777777" w:rsidR="00173CE6" w:rsidRDefault="00B850AF" w:rsidP="007245AC">
      <w:pPr>
        <w:pStyle w:val="Heading1"/>
        <w:ind w:left="567" w:hanging="715"/>
        <w:jc w:val="left"/>
      </w:pPr>
      <w:bookmarkStart w:id="1" w:name="_Toc62550036"/>
      <w:r w:rsidRPr="00017F78">
        <w:t>Scope</w:t>
      </w:r>
      <w:bookmarkEnd w:id="1"/>
      <w:r w:rsidRPr="00017F78">
        <w:t xml:space="preserve"> </w:t>
      </w:r>
    </w:p>
    <w:p w14:paraId="5600ACCF" w14:textId="77777777" w:rsidR="007E69C9" w:rsidRPr="00017F78" w:rsidRDefault="007E69C9" w:rsidP="007245AC">
      <w:pPr>
        <w:pStyle w:val="NoSpacing"/>
        <w:ind w:left="567" w:hanging="715"/>
        <w:rPr>
          <w:b/>
        </w:rPr>
      </w:pPr>
    </w:p>
    <w:p w14:paraId="0BFF9556" w14:textId="77777777" w:rsidR="00F9374B" w:rsidRDefault="00A4022D" w:rsidP="007245AC">
      <w:pPr>
        <w:pStyle w:val="ListParagraph"/>
        <w:numPr>
          <w:ilvl w:val="1"/>
          <w:numId w:val="16"/>
        </w:numPr>
        <w:ind w:left="567" w:hanging="715"/>
        <w:rPr>
          <w:rFonts w:ascii="Arial" w:hAnsi="Arial" w:cs="Arial"/>
          <w:sz w:val="24"/>
          <w:szCs w:val="24"/>
        </w:rPr>
      </w:pPr>
      <w:r w:rsidRPr="009D3911">
        <w:rPr>
          <w:rFonts w:ascii="Arial" w:hAnsi="Arial" w:cs="Arial"/>
          <w:sz w:val="24"/>
          <w:szCs w:val="24"/>
        </w:rPr>
        <w:t>To ensure all staff have clear guidance and procedures to follow when supporting a</w:t>
      </w:r>
      <w:r w:rsidR="00416B63">
        <w:rPr>
          <w:rFonts w:ascii="Arial" w:hAnsi="Arial" w:cs="Arial"/>
          <w:sz w:val="24"/>
          <w:szCs w:val="24"/>
        </w:rPr>
        <w:t>n</w:t>
      </w:r>
      <w:r w:rsidRPr="009D3911">
        <w:rPr>
          <w:rFonts w:ascii="Arial" w:hAnsi="Arial" w:cs="Arial"/>
          <w:sz w:val="24"/>
          <w:szCs w:val="24"/>
        </w:rPr>
        <w:t xml:space="preserve">  adult </w:t>
      </w:r>
      <w:r w:rsidR="00416B63">
        <w:rPr>
          <w:rFonts w:ascii="Arial" w:hAnsi="Arial" w:cs="Arial"/>
          <w:sz w:val="24"/>
          <w:szCs w:val="24"/>
        </w:rPr>
        <w:t xml:space="preserve">with care and support needs </w:t>
      </w:r>
      <w:r w:rsidRPr="009D3911">
        <w:rPr>
          <w:rFonts w:ascii="Arial" w:hAnsi="Arial" w:cs="Arial"/>
          <w:sz w:val="24"/>
          <w:szCs w:val="24"/>
        </w:rPr>
        <w:t xml:space="preserve">with tenancy issues. </w:t>
      </w:r>
    </w:p>
    <w:p w14:paraId="2F971AC0" w14:textId="51FE7A07" w:rsidR="007E69C9" w:rsidRPr="00F9374B" w:rsidRDefault="00416B63" w:rsidP="007245AC">
      <w:pPr>
        <w:pStyle w:val="ListParagraph"/>
        <w:numPr>
          <w:ilvl w:val="1"/>
          <w:numId w:val="16"/>
        </w:numPr>
        <w:ind w:left="567" w:hanging="715"/>
        <w:rPr>
          <w:rFonts w:ascii="Arial" w:hAnsi="Arial" w:cs="Arial"/>
          <w:sz w:val="24"/>
          <w:szCs w:val="24"/>
        </w:rPr>
      </w:pPr>
      <w:r w:rsidRPr="00F9374B">
        <w:rPr>
          <w:rFonts w:ascii="Arial" w:hAnsi="Arial" w:cs="Arial"/>
          <w:sz w:val="24"/>
          <w:szCs w:val="24"/>
        </w:rPr>
        <w:t>Further support can be found in the following guidance</w:t>
      </w:r>
      <w:r w:rsidR="00CA745D" w:rsidRPr="00F9374B">
        <w:rPr>
          <w:rFonts w:ascii="Arial" w:hAnsi="Arial" w:cs="Arial"/>
          <w:sz w:val="24"/>
          <w:szCs w:val="24"/>
        </w:rPr>
        <w:t>:</w:t>
      </w:r>
    </w:p>
    <w:p w14:paraId="5664DDCA" w14:textId="6CE9E06C" w:rsidR="00BC4C84" w:rsidRDefault="002B7DDE" w:rsidP="007245AC">
      <w:pPr>
        <w:pStyle w:val="NoSpacing"/>
        <w:numPr>
          <w:ilvl w:val="0"/>
          <w:numId w:val="17"/>
        </w:numPr>
        <w:ind w:left="993" w:hanging="284"/>
      </w:pPr>
      <w:r w:rsidRPr="009D3911">
        <w:t>M</w:t>
      </w:r>
      <w:r w:rsidR="00A66035">
        <w:t xml:space="preserve">ental Capacity Act and Tenancy </w:t>
      </w:r>
      <w:r w:rsidR="00CC6E71">
        <w:t>Flowchart</w:t>
      </w:r>
      <w:r w:rsidR="009321E5">
        <w:t xml:space="preserve"> (Appendix 1</w:t>
      </w:r>
      <w:r w:rsidR="004F11F0">
        <w:t>)</w:t>
      </w:r>
    </w:p>
    <w:p w14:paraId="70C81E6A" w14:textId="77777777" w:rsidR="00CA745D" w:rsidRDefault="00B850AF" w:rsidP="007245AC">
      <w:pPr>
        <w:pStyle w:val="NoSpacing"/>
        <w:numPr>
          <w:ilvl w:val="0"/>
          <w:numId w:val="17"/>
        </w:numPr>
        <w:ind w:left="993" w:hanging="284"/>
      </w:pPr>
      <w:r w:rsidRPr="00017F78">
        <w:t>Human Rights Act 1988</w:t>
      </w:r>
      <w:r w:rsidR="009321E5">
        <w:t>, Equality’s Act 2000,</w:t>
      </w:r>
      <w:r w:rsidRPr="00017F78">
        <w:t xml:space="preserve"> and all other legislation applicable to adults in England and Wales. </w:t>
      </w:r>
    </w:p>
    <w:p w14:paraId="6938D9BA" w14:textId="77777777" w:rsidR="002B7DDE" w:rsidRDefault="002B7DDE" w:rsidP="007245AC">
      <w:pPr>
        <w:ind w:left="284"/>
        <w:rPr>
          <w:rFonts w:ascii="Arial" w:hAnsi="Arial" w:cs="Arial"/>
          <w:b/>
          <w:sz w:val="24"/>
          <w:szCs w:val="24"/>
        </w:rPr>
      </w:pPr>
    </w:p>
    <w:p w14:paraId="4505A783" w14:textId="77777777" w:rsidR="00782844" w:rsidRDefault="00A4022D" w:rsidP="007245AC">
      <w:pPr>
        <w:pStyle w:val="Heading1"/>
        <w:ind w:left="567" w:hanging="708"/>
        <w:jc w:val="left"/>
      </w:pPr>
      <w:bookmarkStart w:id="2" w:name="_Toc62550037"/>
      <w:r w:rsidRPr="009D3911">
        <w:t>Responsibilities</w:t>
      </w:r>
      <w:bookmarkEnd w:id="2"/>
      <w:r w:rsidR="00782844" w:rsidRPr="009D3911">
        <w:t xml:space="preserve"> </w:t>
      </w:r>
    </w:p>
    <w:p w14:paraId="04F8187F" w14:textId="77777777" w:rsidR="007E69C9" w:rsidRPr="009D3911" w:rsidRDefault="007E69C9" w:rsidP="007245AC">
      <w:pPr>
        <w:pStyle w:val="NoSpacing"/>
        <w:ind w:left="284"/>
        <w:rPr>
          <w:b/>
        </w:rPr>
      </w:pPr>
    </w:p>
    <w:p w14:paraId="4E64F761" w14:textId="77777777" w:rsidR="00F9374B" w:rsidRDefault="002B7DDE" w:rsidP="007245AC">
      <w:pPr>
        <w:pStyle w:val="ListParagraph"/>
        <w:numPr>
          <w:ilvl w:val="1"/>
          <w:numId w:val="16"/>
        </w:numPr>
        <w:ind w:left="567" w:hanging="715"/>
        <w:rPr>
          <w:rFonts w:ascii="Arial" w:hAnsi="Arial" w:cs="Arial"/>
          <w:sz w:val="24"/>
          <w:szCs w:val="24"/>
        </w:rPr>
      </w:pPr>
      <w:r w:rsidRPr="009D3911">
        <w:rPr>
          <w:rFonts w:ascii="Arial" w:hAnsi="Arial" w:cs="Arial"/>
          <w:sz w:val="24"/>
          <w:szCs w:val="24"/>
        </w:rPr>
        <w:t xml:space="preserve">All </w:t>
      </w:r>
      <w:r w:rsidR="000452AE">
        <w:rPr>
          <w:rFonts w:ascii="Arial" w:hAnsi="Arial" w:cs="Arial"/>
          <w:sz w:val="24"/>
          <w:szCs w:val="24"/>
        </w:rPr>
        <w:t>heads of services, team m</w:t>
      </w:r>
      <w:r w:rsidRPr="009D3911">
        <w:rPr>
          <w:rFonts w:ascii="Arial" w:hAnsi="Arial" w:cs="Arial"/>
          <w:sz w:val="24"/>
          <w:szCs w:val="24"/>
        </w:rPr>
        <w:t xml:space="preserve">anagers and their equivalents in the LBC and </w:t>
      </w:r>
      <w:r w:rsidR="00020E0F">
        <w:rPr>
          <w:rFonts w:ascii="Arial" w:hAnsi="Arial" w:cs="Arial"/>
          <w:sz w:val="24"/>
          <w:szCs w:val="24"/>
        </w:rPr>
        <w:t xml:space="preserve">Camden and </w:t>
      </w:r>
      <w:r w:rsidRPr="009D3911">
        <w:rPr>
          <w:rFonts w:ascii="Arial" w:hAnsi="Arial" w:cs="Arial"/>
          <w:sz w:val="24"/>
          <w:szCs w:val="24"/>
        </w:rPr>
        <w:t xml:space="preserve">Islington Mental Health Foundation Trust (C&amp;I) </w:t>
      </w:r>
      <w:r w:rsidR="00CA745D">
        <w:rPr>
          <w:rFonts w:ascii="Arial" w:hAnsi="Arial" w:cs="Arial"/>
          <w:sz w:val="24"/>
          <w:szCs w:val="24"/>
        </w:rPr>
        <w:t>should</w:t>
      </w:r>
      <w:r w:rsidRPr="009D3911">
        <w:rPr>
          <w:rFonts w:ascii="Arial" w:hAnsi="Arial" w:cs="Arial"/>
          <w:sz w:val="24"/>
          <w:szCs w:val="24"/>
        </w:rPr>
        <w:t xml:space="preserve"> ensure staff teams have access to and adhere to this guidance</w:t>
      </w:r>
      <w:r w:rsidR="007E69C9">
        <w:rPr>
          <w:rFonts w:ascii="Arial" w:hAnsi="Arial" w:cs="Arial"/>
          <w:sz w:val="24"/>
          <w:szCs w:val="24"/>
        </w:rPr>
        <w:t>.</w:t>
      </w:r>
    </w:p>
    <w:p w14:paraId="31BF3634" w14:textId="77777777" w:rsidR="00F9374B" w:rsidRDefault="002B7DDE" w:rsidP="007245AC">
      <w:pPr>
        <w:pStyle w:val="ListParagraph"/>
        <w:numPr>
          <w:ilvl w:val="1"/>
          <w:numId w:val="16"/>
        </w:numPr>
        <w:ind w:left="567" w:hanging="715"/>
        <w:rPr>
          <w:rFonts w:ascii="Arial" w:hAnsi="Arial" w:cs="Arial"/>
          <w:sz w:val="24"/>
          <w:szCs w:val="24"/>
        </w:rPr>
      </w:pPr>
      <w:r w:rsidRPr="00F9374B">
        <w:rPr>
          <w:rFonts w:ascii="Arial" w:hAnsi="Arial" w:cs="Arial"/>
          <w:sz w:val="24"/>
          <w:szCs w:val="24"/>
        </w:rPr>
        <w:t>Front line workers are respo</w:t>
      </w:r>
      <w:r w:rsidR="000452AE" w:rsidRPr="00F9374B">
        <w:rPr>
          <w:rFonts w:ascii="Arial" w:hAnsi="Arial" w:cs="Arial"/>
          <w:sz w:val="24"/>
          <w:szCs w:val="24"/>
        </w:rPr>
        <w:t>nsible for liaising with their team m</w:t>
      </w:r>
      <w:r w:rsidRPr="00F9374B">
        <w:rPr>
          <w:rFonts w:ascii="Arial" w:hAnsi="Arial" w:cs="Arial"/>
          <w:sz w:val="24"/>
          <w:szCs w:val="24"/>
        </w:rPr>
        <w:t>anagers if they require further information and support to adhere and action this guidance</w:t>
      </w:r>
      <w:r w:rsidR="0014273A" w:rsidRPr="00F9374B">
        <w:rPr>
          <w:rFonts w:ascii="Arial" w:hAnsi="Arial" w:cs="Arial"/>
          <w:sz w:val="24"/>
          <w:szCs w:val="24"/>
        </w:rPr>
        <w:t xml:space="preserve"> and procedure</w:t>
      </w:r>
      <w:r w:rsidR="007E69C9" w:rsidRPr="00F9374B">
        <w:rPr>
          <w:rFonts w:ascii="Arial" w:hAnsi="Arial" w:cs="Arial"/>
          <w:sz w:val="24"/>
          <w:szCs w:val="24"/>
        </w:rPr>
        <w:t>.</w:t>
      </w:r>
      <w:r w:rsidR="0014273A" w:rsidRPr="00F9374B">
        <w:rPr>
          <w:rFonts w:ascii="Arial" w:hAnsi="Arial" w:cs="Arial"/>
          <w:sz w:val="24"/>
          <w:szCs w:val="24"/>
        </w:rPr>
        <w:t xml:space="preserve"> </w:t>
      </w:r>
    </w:p>
    <w:p w14:paraId="25C7B43F" w14:textId="32D7A676" w:rsidR="0014273A" w:rsidRPr="00F9374B" w:rsidRDefault="002B7DDE" w:rsidP="007245AC">
      <w:pPr>
        <w:pStyle w:val="ListParagraph"/>
        <w:numPr>
          <w:ilvl w:val="1"/>
          <w:numId w:val="16"/>
        </w:numPr>
        <w:ind w:left="567" w:hanging="715"/>
        <w:rPr>
          <w:rFonts w:ascii="Arial" w:hAnsi="Arial" w:cs="Arial"/>
          <w:sz w:val="24"/>
          <w:szCs w:val="24"/>
        </w:rPr>
      </w:pPr>
      <w:r w:rsidRPr="00F9374B">
        <w:rPr>
          <w:rFonts w:ascii="Arial" w:hAnsi="Arial" w:cs="Arial"/>
          <w:sz w:val="24"/>
          <w:szCs w:val="24"/>
        </w:rPr>
        <w:t xml:space="preserve">It is the responsibility of </w:t>
      </w:r>
      <w:r w:rsidR="0014273A" w:rsidRPr="00F9374B">
        <w:rPr>
          <w:rFonts w:ascii="Arial" w:hAnsi="Arial" w:cs="Arial"/>
          <w:sz w:val="24"/>
          <w:szCs w:val="24"/>
        </w:rPr>
        <w:t xml:space="preserve">the lead </w:t>
      </w:r>
      <w:r w:rsidRPr="00F9374B">
        <w:rPr>
          <w:rFonts w:ascii="Arial" w:hAnsi="Arial" w:cs="Arial"/>
          <w:sz w:val="24"/>
          <w:szCs w:val="24"/>
        </w:rPr>
        <w:t>worker to liaise with the professional network and the person</w:t>
      </w:r>
      <w:r w:rsidR="00546505" w:rsidRPr="00F9374B">
        <w:rPr>
          <w:rFonts w:ascii="Arial" w:hAnsi="Arial" w:cs="Arial"/>
          <w:sz w:val="24"/>
          <w:szCs w:val="24"/>
        </w:rPr>
        <w:t>’</w:t>
      </w:r>
      <w:r w:rsidRPr="00F9374B">
        <w:rPr>
          <w:rFonts w:ascii="Arial" w:hAnsi="Arial" w:cs="Arial"/>
          <w:sz w:val="24"/>
          <w:szCs w:val="24"/>
        </w:rPr>
        <w:t>s family</w:t>
      </w:r>
      <w:r w:rsidR="007E69C9" w:rsidRPr="00F9374B">
        <w:rPr>
          <w:rFonts w:ascii="Arial" w:hAnsi="Arial" w:cs="Arial"/>
          <w:sz w:val="24"/>
          <w:szCs w:val="24"/>
        </w:rPr>
        <w:t xml:space="preserve"> to</w:t>
      </w:r>
      <w:r w:rsidR="0014273A" w:rsidRPr="00F9374B">
        <w:rPr>
          <w:rFonts w:ascii="Arial" w:hAnsi="Arial" w:cs="Arial"/>
          <w:sz w:val="24"/>
          <w:szCs w:val="24"/>
        </w:rPr>
        <w:t xml:space="preserve"> ensure</w:t>
      </w:r>
      <w:r w:rsidR="00CC6A60" w:rsidRPr="00F9374B">
        <w:rPr>
          <w:rFonts w:ascii="Arial" w:hAnsi="Arial" w:cs="Arial"/>
          <w:sz w:val="24"/>
          <w:szCs w:val="24"/>
        </w:rPr>
        <w:t xml:space="preserve"> that relevant MCA assessments and</w:t>
      </w:r>
      <w:r w:rsidR="0014273A" w:rsidRPr="00F9374B">
        <w:rPr>
          <w:rFonts w:ascii="Arial" w:hAnsi="Arial" w:cs="Arial"/>
          <w:sz w:val="24"/>
          <w:szCs w:val="24"/>
        </w:rPr>
        <w:t xml:space="preserve"> </w:t>
      </w:r>
      <w:r w:rsidR="008862D0" w:rsidRPr="00F9374B">
        <w:rPr>
          <w:rFonts w:ascii="Arial" w:hAnsi="Arial" w:cs="Arial"/>
          <w:sz w:val="24"/>
          <w:szCs w:val="24"/>
        </w:rPr>
        <w:t>best interest</w:t>
      </w:r>
      <w:r w:rsidR="00DC4418" w:rsidRPr="00F9374B">
        <w:rPr>
          <w:rFonts w:ascii="Arial" w:hAnsi="Arial" w:cs="Arial"/>
          <w:sz w:val="24"/>
          <w:szCs w:val="24"/>
        </w:rPr>
        <w:t>s</w:t>
      </w:r>
      <w:r w:rsidR="008862D0" w:rsidRPr="00F9374B">
        <w:rPr>
          <w:rFonts w:ascii="Arial" w:hAnsi="Arial" w:cs="Arial"/>
          <w:sz w:val="24"/>
          <w:szCs w:val="24"/>
        </w:rPr>
        <w:t xml:space="preserve"> process</w:t>
      </w:r>
      <w:r w:rsidR="007E69C9" w:rsidRPr="00F9374B">
        <w:rPr>
          <w:rFonts w:ascii="Arial" w:hAnsi="Arial" w:cs="Arial"/>
          <w:sz w:val="24"/>
          <w:szCs w:val="24"/>
        </w:rPr>
        <w:t>es</w:t>
      </w:r>
      <w:r w:rsidR="008862D0" w:rsidRPr="00F9374B">
        <w:rPr>
          <w:rFonts w:ascii="Arial" w:hAnsi="Arial" w:cs="Arial"/>
          <w:sz w:val="24"/>
          <w:szCs w:val="24"/>
        </w:rPr>
        <w:t xml:space="preserve"> are</w:t>
      </w:r>
      <w:r w:rsidR="00CC6A60" w:rsidRPr="00F9374B">
        <w:rPr>
          <w:rFonts w:ascii="Arial" w:hAnsi="Arial" w:cs="Arial"/>
          <w:sz w:val="24"/>
          <w:szCs w:val="24"/>
        </w:rPr>
        <w:t xml:space="preserve"> clearly documented and</w:t>
      </w:r>
      <w:r w:rsidR="00E129CE" w:rsidRPr="00F9374B">
        <w:rPr>
          <w:rFonts w:ascii="Arial" w:hAnsi="Arial" w:cs="Arial"/>
          <w:sz w:val="24"/>
          <w:szCs w:val="24"/>
        </w:rPr>
        <w:t xml:space="preserve"> </w:t>
      </w:r>
      <w:r w:rsidR="008862D0" w:rsidRPr="00F9374B">
        <w:rPr>
          <w:rFonts w:ascii="Arial" w:hAnsi="Arial" w:cs="Arial"/>
          <w:sz w:val="24"/>
          <w:szCs w:val="24"/>
        </w:rPr>
        <w:t>followed robustly</w:t>
      </w:r>
      <w:r w:rsidR="00546505" w:rsidRPr="00F9374B">
        <w:rPr>
          <w:rFonts w:ascii="Arial" w:hAnsi="Arial" w:cs="Arial"/>
          <w:sz w:val="24"/>
          <w:szCs w:val="24"/>
        </w:rPr>
        <w:t>.</w:t>
      </w:r>
    </w:p>
    <w:p w14:paraId="795A8C41" w14:textId="77777777" w:rsidR="007E69C9" w:rsidRDefault="0014273A" w:rsidP="007245AC">
      <w:pPr>
        <w:pStyle w:val="Heading1"/>
        <w:ind w:left="567" w:hanging="715"/>
        <w:jc w:val="left"/>
        <w:rPr>
          <w:rFonts w:eastAsiaTheme="minorHAnsi"/>
        </w:rPr>
      </w:pPr>
      <w:bookmarkStart w:id="3" w:name="_Toc62550038"/>
      <w:r>
        <w:rPr>
          <w:rFonts w:eastAsiaTheme="minorHAnsi"/>
        </w:rPr>
        <w:t>Principles</w:t>
      </w:r>
      <w:bookmarkEnd w:id="3"/>
      <w:r>
        <w:rPr>
          <w:rFonts w:eastAsiaTheme="minorHAnsi"/>
        </w:rPr>
        <w:t xml:space="preserve"> </w:t>
      </w:r>
    </w:p>
    <w:p w14:paraId="21C3A2BC" w14:textId="77777777" w:rsidR="007E69C9" w:rsidRPr="007E69C9" w:rsidRDefault="007E69C9" w:rsidP="007245AC">
      <w:pPr>
        <w:pStyle w:val="NoSpacing"/>
        <w:ind w:left="567" w:hanging="715"/>
        <w:rPr>
          <w:rFonts w:eastAsiaTheme="minorHAnsi"/>
          <w:b/>
          <w:lang w:eastAsia="en-US"/>
        </w:rPr>
      </w:pPr>
    </w:p>
    <w:p w14:paraId="40493437" w14:textId="1CCA2D5D" w:rsidR="00F9374B" w:rsidRDefault="00CC6E71" w:rsidP="007245AC">
      <w:pPr>
        <w:pStyle w:val="ListParagraph"/>
        <w:numPr>
          <w:ilvl w:val="1"/>
          <w:numId w:val="16"/>
        </w:numPr>
        <w:ind w:left="567" w:hanging="715"/>
        <w:rPr>
          <w:rFonts w:ascii="Arial" w:hAnsi="Arial" w:cs="Arial"/>
          <w:sz w:val="24"/>
          <w:szCs w:val="24"/>
        </w:rPr>
      </w:pPr>
      <w:r>
        <w:rPr>
          <w:rFonts w:ascii="Arial" w:hAnsi="Arial" w:cs="Arial"/>
          <w:sz w:val="24"/>
          <w:szCs w:val="24"/>
        </w:rPr>
        <w:t>People</w:t>
      </w:r>
      <w:r w:rsidR="0014273A" w:rsidRPr="009D3911">
        <w:rPr>
          <w:rFonts w:ascii="Arial" w:hAnsi="Arial" w:cs="Arial"/>
          <w:sz w:val="24"/>
          <w:szCs w:val="24"/>
        </w:rPr>
        <w:t xml:space="preserve"> </w:t>
      </w:r>
      <w:r w:rsidR="00CD3E8F" w:rsidRPr="009D3911">
        <w:rPr>
          <w:rFonts w:ascii="Arial" w:hAnsi="Arial" w:cs="Arial"/>
          <w:sz w:val="24"/>
          <w:szCs w:val="24"/>
        </w:rPr>
        <w:t>must</w:t>
      </w:r>
      <w:r w:rsidR="0014273A" w:rsidRPr="009D3911">
        <w:rPr>
          <w:rFonts w:ascii="Arial" w:hAnsi="Arial" w:cs="Arial"/>
          <w:sz w:val="24"/>
          <w:szCs w:val="24"/>
        </w:rPr>
        <w:t xml:space="preserve"> be enabled and assisted to mana</w:t>
      </w:r>
      <w:r>
        <w:rPr>
          <w:rFonts w:ascii="Arial" w:hAnsi="Arial" w:cs="Arial"/>
          <w:sz w:val="24"/>
          <w:szCs w:val="24"/>
        </w:rPr>
        <w:t xml:space="preserve">ge their own tenancy where </w:t>
      </w:r>
      <w:r w:rsidR="0014273A" w:rsidRPr="009D3911">
        <w:rPr>
          <w:rFonts w:ascii="Arial" w:hAnsi="Arial" w:cs="Arial"/>
          <w:sz w:val="24"/>
          <w:szCs w:val="24"/>
        </w:rPr>
        <w:t>possible.</w:t>
      </w:r>
      <w:r w:rsidR="006113E2">
        <w:rPr>
          <w:rFonts w:ascii="Arial" w:hAnsi="Arial" w:cs="Arial"/>
          <w:sz w:val="24"/>
          <w:szCs w:val="24"/>
        </w:rPr>
        <w:t xml:space="preserve"> The individual should be encouraged to appoint Lasting Power of Attorney</w:t>
      </w:r>
      <w:r w:rsidR="00E841F5">
        <w:rPr>
          <w:rFonts w:ascii="Arial" w:hAnsi="Arial" w:cs="Arial"/>
          <w:sz w:val="24"/>
          <w:szCs w:val="24"/>
        </w:rPr>
        <w:t xml:space="preserve"> (LPA)</w:t>
      </w:r>
      <w:r w:rsidR="006113E2">
        <w:rPr>
          <w:rFonts w:ascii="Arial" w:hAnsi="Arial" w:cs="Arial"/>
          <w:sz w:val="24"/>
          <w:szCs w:val="24"/>
        </w:rPr>
        <w:t xml:space="preserve"> while they still have capacity.</w:t>
      </w:r>
    </w:p>
    <w:p w14:paraId="6946C95B" w14:textId="39B0331B" w:rsidR="001151D4" w:rsidRPr="001151D4" w:rsidRDefault="00020E0F" w:rsidP="007245AC">
      <w:pPr>
        <w:pStyle w:val="ListParagraph"/>
        <w:numPr>
          <w:ilvl w:val="1"/>
          <w:numId w:val="16"/>
        </w:numPr>
        <w:ind w:left="567" w:hanging="715"/>
        <w:rPr>
          <w:rFonts w:ascii="Arial" w:hAnsi="Arial" w:cs="Arial"/>
          <w:sz w:val="24"/>
          <w:szCs w:val="24"/>
        </w:rPr>
      </w:pPr>
      <w:r>
        <w:rPr>
          <w:rFonts w:ascii="Arial" w:hAnsi="Arial" w:cs="Arial"/>
          <w:sz w:val="24"/>
          <w:szCs w:val="24"/>
        </w:rPr>
        <w:t>If an individual lacks capacity a</w:t>
      </w:r>
      <w:r w:rsidR="0010492B">
        <w:rPr>
          <w:rFonts w:ascii="Arial" w:hAnsi="Arial" w:cs="Arial"/>
          <w:sz w:val="24"/>
          <w:szCs w:val="24"/>
        </w:rPr>
        <w:t xml:space="preserve">ny intervention must be </w:t>
      </w:r>
      <w:r w:rsidR="0014273A" w:rsidRPr="009D3911">
        <w:rPr>
          <w:rFonts w:ascii="Arial" w:hAnsi="Arial" w:cs="Arial"/>
          <w:sz w:val="24"/>
          <w:szCs w:val="24"/>
        </w:rPr>
        <w:t xml:space="preserve">strictly in accordance with </w:t>
      </w:r>
      <w:r w:rsidR="003073A0" w:rsidRPr="009D3911">
        <w:rPr>
          <w:rFonts w:ascii="Arial" w:hAnsi="Arial" w:cs="Arial"/>
          <w:sz w:val="24"/>
          <w:szCs w:val="24"/>
        </w:rPr>
        <w:t xml:space="preserve">the </w:t>
      </w:r>
      <w:r w:rsidR="0014273A" w:rsidRPr="009D3911">
        <w:rPr>
          <w:rFonts w:ascii="Arial" w:hAnsi="Arial" w:cs="Arial"/>
          <w:sz w:val="24"/>
          <w:szCs w:val="24"/>
        </w:rPr>
        <w:t>Menta</w:t>
      </w:r>
      <w:r w:rsidR="007E69C9">
        <w:rPr>
          <w:rFonts w:ascii="Arial" w:hAnsi="Arial" w:cs="Arial"/>
          <w:sz w:val="24"/>
          <w:szCs w:val="24"/>
        </w:rPr>
        <w:t>l Capacity Act (MCA</w:t>
      </w:r>
      <w:r w:rsidR="00CC6A60">
        <w:rPr>
          <w:rFonts w:ascii="Arial" w:hAnsi="Arial" w:cs="Arial"/>
          <w:sz w:val="24"/>
          <w:szCs w:val="24"/>
        </w:rPr>
        <w:t xml:space="preserve"> 2005</w:t>
      </w:r>
      <w:r w:rsidR="007E69C9">
        <w:rPr>
          <w:rFonts w:ascii="Arial" w:hAnsi="Arial" w:cs="Arial"/>
          <w:sz w:val="24"/>
          <w:szCs w:val="24"/>
        </w:rPr>
        <w:t>) principles</w:t>
      </w:r>
      <w:r>
        <w:rPr>
          <w:rFonts w:ascii="Arial" w:hAnsi="Arial" w:cs="Arial"/>
          <w:sz w:val="24"/>
          <w:szCs w:val="24"/>
        </w:rPr>
        <w:t>.</w:t>
      </w:r>
      <w:r w:rsidR="00663FDC">
        <w:rPr>
          <w:rFonts w:ascii="Arial" w:hAnsi="Arial" w:cs="Arial"/>
          <w:sz w:val="24"/>
          <w:szCs w:val="24"/>
        </w:rPr>
        <w:t xml:space="preserve"> </w:t>
      </w:r>
      <w:r>
        <w:rPr>
          <w:rFonts w:ascii="Arial" w:hAnsi="Arial" w:cs="Arial"/>
          <w:sz w:val="24"/>
          <w:szCs w:val="24"/>
        </w:rPr>
        <w:t xml:space="preserve">Where necessary staff need to be proactive in supporting the individual to prevent delays. </w:t>
      </w:r>
    </w:p>
    <w:p w14:paraId="5BA797B3" w14:textId="77777777" w:rsidR="0014273A" w:rsidRDefault="0014273A" w:rsidP="007245AC">
      <w:pPr>
        <w:pStyle w:val="NoSpacing"/>
        <w:ind w:left="284"/>
        <w:rPr>
          <w:rFonts w:eastAsiaTheme="minorHAnsi"/>
          <w:b/>
          <w:lang w:eastAsia="en-US"/>
        </w:rPr>
      </w:pPr>
    </w:p>
    <w:p w14:paraId="4773A098" w14:textId="77777777" w:rsidR="001936DC" w:rsidRDefault="001936DC" w:rsidP="007245AC">
      <w:pPr>
        <w:pStyle w:val="Heading1"/>
        <w:jc w:val="left"/>
        <w:rPr>
          <w:rFonts w:eastAsiaTheme="minorHAnsi"/>
        </w:rPr>
      </w:pPr>
      <w:bookmarkStart w:id="4" w:name="_Toc62550039"/>
      <w:r>
        <w:rPr>
          <w:rFonts w:eastAsiaTheme="minorHAnsi"/>
        </w:rPr>
        <w:t>Assumed capacity</w:t>
      </w:r>
      <w:bookmarkEnd w:id="4"/>
      <w:r>
        <w:rPr>
          <w:rFonts w:eastAsiaTheme="minorHAnsi"/>
        </w:rPr>
        <w:t xml:space="preserve"> </w:t>
      </w:r>
    </w:p>
    <w:p w14:paraId="39E4B6A5" w14:textId="77777777" w:rsidR="002D27E5" w:rsidRDefault="002D27E5" w:rsidP="007245AC">
      <w:pPr>
        <w:pStyle w:val="NoSpacing"/>
        <w:ind w:left="360"/>
        <w:rPr>
          <w:rFonts w:eastAsiaTheme="minorHAnsi"/>
          <w:b/>
          <w:lang w:eastAsia="en-US"/>
        </w:rPr>
      </w:pPr>
    </w:p>
    <w:p w14:paraId="39CBAE3E" w14:textId="77777777" w:rsidR="00F9374B" w:rsidRDefault="00EF75AF" w:rsidP="007245AC">
      <w:pPr>
        <w:pStyle w:val="NoSpacing"/>
        <w:numPr>
          <w:ilvl w:val="1"/>
          <w:numId w:val="16"/>
        </w:numPr>
        <w:ind w:left="567" w:hanging="715"/>
        <w:rPr>
          <w:rFonts w:eastAsiaTheme="minorHAnsi"/>
          <w:lang w:eastAsia="en-US"/>
        </w:rPr>
      </w:pPr>
      <w:r>
        <w:rPr>
          <w:rFonts w:eastAsiaTheme="minorHAnsi"/>
          <w:lang w:eastAsia="en-US"/>
        </w:rPr>
        <w:lastRenderedPageBreak/>
        <w:t xml:space="preserve">The </w:t>
      </w:r>
      <w:r w:rsidR="00C9605E">
        <w:rPr>
          <w:rFonts w:eastAsiaTheme="minorHAnsi"/>
          <w:lang w:eastAsia="en-US"/>
        </w:rPr>
        <w:t>MCA</w:t>
      </w:r>
      <w:r>
        <w:rPr>
          <w:rFonts w:eastAsiaTheme="minorHAnsi"/>
          <w:lang w:eastAsia="en-US"/>
        </w:rPr>
        <w:t xml:space="preserve"> 2005 sets out a robust</w:t>
      </w:r>
      <w:r w:rsidR="00D27F18">
        <w:rPr>
          <w:rFonts w:eastAsiaTheme="minorHAnsi"/>
          <w:lang w:eastAsia="en-US"/>
        </w:rPr>
        <w:t xml:space="preserve"> legal framework. There is an as</w:t>
      </w:r>
      <w:r>
        <w:rPr>
          <w:rFonts w:eastAsiaTheme="minorHAnsi"/>
          <w:lang w:eastAsia="en-US"/>
        </w:rPr>
        <w:t xml:space="preserve">sumption a person </w:t>
      </w:r>
      <w:proofErr w:type="gramStart"/>
      <w:r>
        <w:rPr>
          <w:rFonts w:eastAsiaTheme="minorHAnsi"/>
          <w:lang w:eastAsia="en-US"/>
        </w:rPr>
        <w:t xml:space="preserve">is </w:t>
      </w:r>
      <w:r w:rsidR="001936DC">
        <w:rPr>
          <w:rFonts w:eastAsiaTheme="minorHAnsi"/>
          <w:lang w:eastAsia="en-US"/>
        </w:rPr>
        <w:t xml:space="preserve">able </w:t>
      </w:r>
      <w:r w:rsidR="00F96863">
        <w:rPr>
          <w:rFonts w:eastAsiaTheme="minorHAnsi"/>
          <w:lang w:eastAsia="en-US"/>
        </w:rPr>
        <w:t>to</w:t>
      </w:r>
      <w:proofErr w:type="gramEnd"/>
      <w:r w:rsidR="00F96863">
        <w:rPr>
          <w:rFonts w:eastAsiaTheme="minorHAnsi"/>
          <w:lang w:eastAsia="en-US"/>
        </w:rPr>
        <w:t xml:space="preserve"> make all their own decisions </w:t>
      </w:r>
      <w:r w:rsidR="001936DC">
        <w:rPr>
          <w:rFonts w:eastAsiaTheme="minorHAnsi"/>
          <w:lang w:eastAsia="en-US"/>
        </w:rPr>
        <w:t xml:space="preserve">until proved otherwise. The test of capacity </w:t>
      </w:r>
      <w:r w:rsidR="00CD3E8F">
        <w:rPr>
          <w:rFonts w:eastAsiaTheme="minorHAnsi"/>
          <w:lang w:eastAsia="en-US"/>
        </w:rPr>
        <w:t>must</w:t>
      </w:r>
      <w:r w:rsidR="001936DC">
        <w:rPr>
          <w:rFonts w:eastAsiaTheme="minorHAnsi"/>
          <w:lang w:eastAsia="en-US"/>
        </w:rPr>
        <w:t xml:space="preserve"> </w:t>
      </w:r>
      <w:r w:rsidR="001D5DF4">
        <w:rPr>
          <w:rFonts w:eastAsiaTheme="minorHAnsi"/>
          <w:lang w:eastAsia="en-US"/>
        </w:rPr>
        <w:t>be time and decision specific.</w:t>
      </w:r>
      <w:r w:rsidR="001936DC">
        <w:rPr>
          <w:rFonts w:eastAsiaTheme="minorHAnsi"/>
          <w:lang w:eastAsia="en-US"/>
        </w:rPr>
        <w:t xml:space="preserve"> </w:t>
      </w:r>
    </w:p>
    <w:p w14:paraId="37662CB6" w14:textId="69173150" w:rsidR="00755167" w:rsidRPr="00F9374B" w:rsidRDefault="008353BB" w:rsidP="007245AC">
      <w:pPr>
        <w:pStyle w:val="NoSpacing"/>
        <w:numPr>
          <w:ilvl w:val="1"/>
          <w:numId w:val="16"/>
        </w:numPr>
        <w:ind w:left="567" w:hanging="715"/>
        <w:rPr>
          <w:rFonts w:eastAsiaTheme="minorHAnsi"/>
          <w:lang w:eastAsia="en-US"/>
        </w:rPr>
      </w:pPr>
      <w:r w:rsidRPr="00F9374B">
        <w:rPr>
          <w:rFonts w:eastAsiaTheme="minorHAnsi"/>
          <w:lang w:eastAsia="en-US"/>
        </w:rPr>
        <w:t xml:space="preserve">If there are no issues with capacity the ASC practitioner should liaise with housing colleagues to start or end the tenancy. </w:t>
      </w:r>
    </w:p>
    <w:p w14:paraId="65CE04A7" w14:textId="77777777" w:rsidR="008353BB" w:rsidRDefault="008353BB" w:rsidP="007245AC">
      <w:pPr>
        <w:pStyle w:val="NoSpacing"/>
        <w:ind w:left="567" w:hanging="715"/>
        <w:rPr>
          <w:rFonts w:eastAsiaTheme="minorHAnsi"/>
          <w:lang w:eastAsia="en-US"/>
        </w:rPr>
      </w:pPr>
    </w:p>
    <w:p w14:paraId="2B955FE6" w14:textId="77777777" w:rsidR="00755167" w:rsidRDefault="00755167" w:rsidP="007245AC">
      <w:pPr>
        <w:pStyle w:val="NoSpacing"/>
        <w:ind w:left="567" w:hanging="715"/>
        <w:rPr>
          <w:rFonts w:eastAsiaTheme="minorHAnsi"/>
          <w:i/>
          <w:lang w:eastAsia="en-US"/>
        </w:rPr>
      </w:pPr>
      <w:r>
        <w:rPr>
          <w:rFonts w:eastAsiaTheme="minorHAnsi"/>
          <w:i/>
          <w:lang w:eastAsia="en-US"/>
        </w:rPr>
        <w:t>Tenancies beginning</w:t>
      </w:r>
    </w:p>
    <w:p w14:paraId="1C8CBD3E" w14:textId="77777777" w:rsidR="00755167" w:rsidRDefault="00755167" w:rsidP="007245AC">
      <w:pPr>
        <w:pStyle w:val="NoSpacing"/>
        <w:ind w:left="567" w:hanging="715"/>
        <w:rPr>
          <w:rFonts w:eastAsiaTheme="minorHAnsi"/>
          <w:i/>
          <w:lang w:eastAsia="en-US"/>
        </w:rPr>
      </w:pPr>
    </w:p>
    <w:p w14:paraId="6200FD07" w14:textId="77777777" w:rsidR="00F9374B" w:rsidRDefault="00DF5EF8" w:rsidP="007245AC">
      <w:pPr>
        <w:pStyle w:val="NoSpacing"/>
        <w:numPr>
          <w:ilvl w:val="1"/>
          <w:numId w:val="16"/>
        </w:numPr>
        <w:ind w:left="567" w:hanging="715"/>
        <w:rPr>
          <w:rFonts w:eastAsiaTheme="minorHAnsi"/>
          <w:lang w:eastAsia="en-US"/>
        </w:rPr>
      </w:pPr>
      <w:r>
        <w:rPr>
          <w:rFonts w:eastAsiaTheme="minorHAnsi"/>
          <w:lang w:eastAsia="en-US"/>
        </w:rPr>
        <w:t xml:space="preserve">Early dialogue with landlords can help </w:t>
      </w:r>
      <w:r w:rsidR="00805FAE">
        <w:rPr>
          <w:rFonts w:eastAsiaTheme="minorHAnsi"/>
          <w:lang w:eastAsia="en-US"/>
        </w:rPr>
        <w:t xml:space="preserve">them identify any necessary adjustments </w:t>
      </w:r>
      <w:r w:rsidR="004C4C0B">
        <w:rPr>
          <w:rFonts w:eastAsiaTheme="minorHAnsi"/>
          <w:lang w:eastAsia="en-US"/>
        </w:rPr>
        <w:t xml:space="preserve">around the </w:t>
      </w:r>
      <w:r>
        <w:rPr>
          <w:rFonts w:eastAsiaTheme="minorHAnsi"/>
          <w:lang w:eastAsia="en-US"/>
        </w:rPr>
        <w:t>tenant</w:t>
      </w:r>
      <w:r w:rsidR="004C4C0B">
        <w:rPr>
          <w:rFonts w:eastAsiaTheme="minorHAnsi"/>
          <w:lang w:eastAsia="en-US"/>
        </w:rPr>
        <w:t>’</w:t>
      </w:r>
      <w:r>
        <w:rPr>
          <w:rFonts w:eastAsiaTheme="minorHAnsi"/>
          <w:lang w:eastAsia="en-US"/>
        </w:rPr>
        <w:t>s need</w:t>
      </w:r>
      <w:r w:rsidR="00F12C0A">
        <w:rPr>
          <w:rFonts w:eastAsiaTheme="minorHAnsi"/>
          <w:lang w:eastAsia="en-US"/>
        </w:rPr>
        <w:t>s</w:t>
      </w:r>
      <w:r w:rsidR="00C7784D">
        <w:rPr>
          <w:rFonts w:eastAsiaTheme="minorHAnsi"/>
          <w:lang w:eastAsia="en-US"/>
        </w:rPr>
        <w:t>,</w:t>
      </w:r>
      <w:r>
        <w:rPr>
          <w:rFonts w:eastAsiaTheme="minorHAnsi"/>
          <w:lang w:eastAsia="en-US"/>
        </w:rPr>
        <w:t xml:space="preserve"> getting tenancies off to a good start and reducing risk of tenanc</w:t>
      </w:r>
      <w:r w:rsidR="00F12C0A">
        <w:rPr>
          <w:rFonts w:eastAsiaTheme="minorHAnsi"/>
          <w:lang w:eastAsia="en-US"/>
        </w:rPr>
        <w:t>y failure.</w:t>
      </w:r>
      <w:r>
        <w:rPr>
          <w:rFonts w:eastAsiaTheme="minorHAnsi"/>
          <w:lang w:eastAsia="en-US"/>
        </w:rPr>
        <w:t xml:space="preserve"> </w:t>
      </w:r>
    </w:p>
    <w:p w14:paraId="3AFE7AEB" w14:textId="58A4ACDA" w:rsidR="00F12C0A" w:rsidRDefault="00F12C0A" w:rsidP="007245AC">
      <w:pPr>
        <w:pStyle w:val="NoSpacing"/>
        <w:numPr>
          <w:ilvl w:val="1"/>
          <w:numId w:val="16"/>
        </w:numPr>
        <w:ind w:left="567" w:hanging="715"/>
        <w:rPr>
          <w:rFonts w:eastAsiaTheme="minorHAnsi"/>
          <w:lang w:eastAsia="en-US"/>
        </w:rPr>
      </w:pPr>
      <w:r w:rsidRPr="00F9374B">
        <w:rPr>
          <w:rFonts w:eastAsiaTheme="minorHAnsi"/>
          <w:lang w:eastAsia="en-US"/>
        </w:rPr>
        <w:t xml:space="preserve">Social landlords often have resources that can be helpful (welfare benefits specialists for example). There is </w:t>
      </w:r>
      <w:r w:rsidRPr="007C49E3">
        <w:rPr>
          <w:rFonts w:eastAsiaTheme="minorHAnsi"/>
          <w:lang w:eastAsia="en-US"/>
        </w:rPr>
        <w:t>an</w:t>
      </w:r>
      <w:r w:rsidR="002F21CA" w:rsidRPr="007C49E3">
        <w:rPr>
          <w:rFonts w:eastAsiaTheme="minorHAnsi"/>
          <w:lang w:eastAsia="en-US"/>
        </w:rPr>
        <w:t xml:space="preserve"> </w:t>
      </w:r>
      <w:hyperlink r:id="rId11" w:history="1">
        <w:r w:rsidR="002F21CA" w:rsidRPr="007C49E3">
          <w:rPr>
            <w:rStyle w:val="Hyperlink"/>
            <w:rFonts w:eastAsiaTheme="minorHAnsi"/>
            <w:b/>
            <w:bCs/>
            <w:lang w:eastAsia="en-US"/>
          </w:rPr>
          <w:t>Easy Read guide to the Council’s tenancy conditions</w:t>
        </w:r>
      </w:hyperlink>
      <w:r w:rsidR="002F21CA">
        <w:rPr>
          <w:rFonts w:eastAsiaTheme="minorHAnsi"/>
          <w:lang w:eastAsia="en-US"/>
        </w:rPr>
        <w:t>.</w:t>
      </w:r>
    </w:p>
    <w:p w14:paraId="26031C5F" w14:textId="77777777" w:rsidR="002F21CA" w:rsidRPr="00F9374B" w:rsidRDefault="002F21CA" w:rsidP="007245AC">
      <w:pPr>
        <w:pStyle w:val="NoSpacing"/>
        <w:numPr>
          <w:ilvl w:val="1"/>
          <w:numId w:val="16"/>
        </w:numPr>
        <w:ind w:left="567" w:hanging="715"/>
        <w:rPr>
          <w:rFonts w:eastAsiaTheme="minorHAnsi"/>
          <w:lang w:eastAsia="en-US"/>
        </w:rPr>
      </w:pPr>
    </w:p>
    <w:p w14:paraId="4FBE6322" w14:textId="77777777" w:rsidR="00276860" w:rsidRDefault="00276860" w:rsidP="007245AC">
      <w:pPr>
        <w:pStyle w:val="NoSpacing"/>
        <w:ind w:left="567" w:hanging="715"/>
        <w:rPr>
          <w:rFonts w:eastAsiaTheme="minorHAnsi"/>
          <w:lang w:eastAsia="en-US"/>
        </w:rPr>
      </w:pPr>
    </w:p>
    <w:p w14:paraId="55EE006B" w14:textId="77777777" w:rsidR="00276860" w:rsidRDefault="00276860" w:rsidP="007245AC">
      <w:pPr>
        <w:pStyle w:val="NoSpacing"/>
        <w:ind w:left="567" w:hanging="715"/>
        <w:rPr>
          <w:rFonts w:eastAsiaTheme="minorHAnsi"/>
          <w:i/>
          <w:lang w:eastAsia="en-US"/>
        </w:rPr>
      </w:pPr>
      <w:r>
        <w:rPr>
          <w:rFonts w:eastAsiaTheme="minorHAnsi"/>
          <w:i/>
          <w:lang w:eastAsia="en-US"/>
        </w:rPr>
        <w:t>Tenancies ending</w:t>
      </w:r>
    </w:p>
    <w:p w14:paraId="2692E662" w14:textId="77777777" w:rsidR="00276860" w:rsidRDefault="00276860" w:rsidP="007245AC">
      <w:pPr>
        <w:pStyle w:val="NoSpacing"/>
        <w:ind w:left="567" w:hanging="715"/>
        <w:rPr>
          <w:rFonts w:eastAsiaTheme="minorHAnsi"/>
          <w:i/>
          <w:lang w:eastAsia="en-US"/>
        </w:rPr>
      </w:pPr>
    </w:p>
    <w:p w14:paraId="4D1B684D" w14:textId="60CB851B" w:rsidR="00F9374B" w:rsidRDefault="00805FAE" w:rsidP="007245AC">
      <w:pPr>
        <w:pStyle w:val="NoSpacing"/>
        <w:numPr>
          <w:ilvl w:val="1"/>
          <w:numId w:val="16"/>
        </w:numPr>
        <w:ind w:left="567" w:hanging="715"/>
        <w:rPr>
          <w:rFonts w:eastAsiaTheme="minorHAnsi"/>
          <w:lang w:eastAsia="en-US"/>
        </w:rPr>
      </w:pPr>
      <w:r>
        <w:rPr>
          <w:rFonts w:eastAsiaTheme="minorHAnsi"/>
          <w:lang w:eastAsia="en-US"/>
        </w:rPr>
        <w:t xml:space="preserve">Notifying landlords that a tenant is in hospital or residential care is important. It reduces risk </w:t>
      </w:r>
      <w:r w:rsidR="00ED07E7">
        <w:rPr>
          <w:rFonts w:eastAsiaTheme="minorHAnsi"/>
          <w:lang w:eastAsia="en-US"/>
        </w:rPr>
        <w:t xml:space="preserve">(for example) </w:t>
      </w:r>
      <w:r>
        <w:rPr>
          <w:rFonts w:eastAsiaTheme="minorHAnsi"/>
          <w:lang w:eastAsia="en-US"/>
        </w:rPr>
        <w:t>that they will force entry</w:t>
      </w:r>
      <w:r w:rsidR="00ED07E7">
        <w:rPr>
          <w:rFonts w:eastAsiaTheme="minorHAnsi"/>
          <w:lang w:eastAsia="en-US"/>
        </w:rPr>
        <w:t xml:space="preserve"> out of concern the tenan</w:t>
      </w:r>
      <w:r>
        <w:rPr>
          <w:rFonts w:eastAsiaTheme="minorHAnsi"/>
          <w:lang w:eastAsia="en-US"/>
        </w:rPr>
        <w:t>t hasn’t been seen.</w:t>
      </w:r>
      <w:r w:rsidR="00080703">
        <w:rPr>
          <w:rFonts w:eastAsiaTheme="minorHAnsi"/>
          <w:lang w:eastAsia="en-US"/>
        </w:rPr>
        <w:t xml:space="preserve"> </w:t>
      </w:r>
      <w:r w:rsidR="00536295">
        <w:rPr>
          <w:rFonts w:eastAsiaTheme="minorHAnsi"/>
          <w:lang w:eastAsia="en-US"/>
        </w:rPr>
        <w:t xml:space="preserve">Ending tenancies is important </w:t>
      </w:r>
      <w:proofErr w:type="gramStart"/>
      <w:r w:rsidR="00536295">
        <w:rPr>
          <w:rFonts w:eastAsiaTheme="minorHAnsi"/>
          <w:lang w:eastAsia="en-US"/>
        </w:rPr>
        <w:t>in order to</w:t>
      </w:r>
      <w:proofErr w:type="gramEnd"/>
      <w:r w:rsidR="00536295">
        <w:rPr>
          <w:rFonts w:eastAsiaTheme="minorHAnsi"/>
          <w:lang w:eastAsia="en-US"/>
        </w:rPr>
        <w:t xml:space="preserve"> ensure </w:t>
      </w:r>
      <w:r w:rsidR="00220751">
        <w:rPr>
          <w:rFonts w:eastAsiaTheme="minorHAnsi"/>
          <w:lang w:eastAsia="en-US"/>
        </w:rPr>
        <w:t xml:space="preserve">that </w:t>
      </w:r>
      <w:r w:rsidR="00536295">
        <w:rPr>
          <w:rFonts w:eastAsiaTheme="minorHAnsi"/>
          <w:lang w:eastAsia="en-US"/>
        </w:rPr>
        <w:t xml:space="preserve">tenants do not get into rent arrears and </w:t>
      </w:r>
      <w:r w:rsidR="00D51B96">
        <w:rPr>
          <w:rFonts w:eastAsiaTheme="minorHAnsi"/>
          <w:lang w:eastAsia="en-US"/>
        </w:rPr>
        <w:t>so that</w:t>
      </w:r>
      <w:r w:rsidR="00536295">
        <w:rPr>
          <w:rFonts w:eastAsiaTheme="minorHAnsi"/>
          <w:lang w:eastAsia="en-US"/>
        </w:rPr>
        <w:t xml:space="preserve"> </w:t>
      </w:r>
      <w:r w:rsidR="00FC0653">
        <w:rPr>
          <w:rFonts w:eastAsiaTheme="minorHAnsi"/>
          <w:lang w:eastAsia="en-US"/>
        </w:rPr>
        <w:t xml:space="preserve">that </w:t>
      </w:r>
      <w:r w:rsidR="00156AFC">
        <w:rPr>
          <w:rFonts w:eastAsiaTheme="minorHAnsi"/>
          <w:lang w:eastAsia="en-US"/>
        </w:rPr>
        <w:t xml:space="preserve">empty </w:t>
      </w:r>
      <w:r w:rsidR="00FC0653">
        <w:rPr>
          <w:rFonts w:eastAsiaTheme="minorHAnsi"/>
          <w:lang w:eastAsia="en-US"/>
        </w:rPr>
        <w:t>homes can be let</w:t>
      </w:r>
      <w:r w:rsidR="00156AFC">
        <w:rPr>
          <w:rFonts w:eastAsiaTheme="minorHAnsi"/>
          <w:lang w:eastAsia="en-US"/>
        </w:rPr>
        <w:t xml:space="preserve"> </w:t>
      </w:r>
      <w:r w:rsidR="00EB3EDD">
        <w:rPr>
          <w:rFonts w:eastAsiaTheme="minorHAnsi"/>
          <w:lang w:eastAsia="en-US"/>
        </w:rPr>
        <w:t xml:space="preserve">without delay </w:t>
      </w:r>
      <w:r w:rsidR="00156AFC">
        <w:rPr>
          <w:rFonts w:eastAsiaTheme="minorHAnsi"/>
          <w:lang w:eastAsia="en-US"/>
        </w:rPr>
        <w:t>to people in housing need</w:t>
      </w:r>
      <w:r w:rsidR="00536295">
        <w:rPr>
          <w:rFonts w:eastAsiaTheme="minorHAnsi"/>
          <w:lang w:eastAsia="en-US"/>
        </w:rPr>
        <w:t xml:space="preserve">. </w:t>
      </w:r>
      <w:r w:rsidR="00080703">
        <w:rPr>
          <w:rFonts w:eastAsiaTheme="minorHAnsi"/>
          <w:lang w:eastAsia="en-US"/>
        </w:rPr>
        <w:t>If it is a Council property you can find the housing offi</w:t>
      </w:r>
      <w:r w:rsidR="00536295">
        <w:rPr>
          <w:rFonts w:eastAsiaTheme="minorHAnsi"/>
          <w:lang w:eastAsia="en-US"/>
        </w:rPr>
        <w:t>cer or rent service officer on the</w:t>
      </w:r>
      <w:r w:rsidR="00080703">
        <w:rPr>
          <w:rFonts w:eastAsiaTheme="minorHAnsi"/>
          <w:lang w:eastAsia="en-US"/>
        </w:rPr>
        <w:t xml:space="preserve"> </w:t>
      </w:r>
      <w:hyperlink r:id="rId12" w:anchor="main" w:history="1">
        <w:r w:rsidR="007C49E3" w:rsidRPr="007C49E3">
          <w:rPr>
            <w:rStyle w:val="Hyperlink"/>
            <w:rFonts w:eastAsiaTheme="minorHAnsi"/>
            <w:b/>
            <w:bCs/>
            <w:lang w:eastAsia="en-US"/>
          </w:rPr>
          <w:t>H</w:t>
        </w:r>
        <w:r w:rsidR="00080703" w:rsidRPr="007C49E3">
          <w:rPr>
            <w:rStyle w:val="Hyperlink"/>
            <w:rFonts w:eastAsiaTheme="minorHAnsi"/>
            <w:b/>
            <w:bCs/>
            <w:lang w:eastAsia="en-US"/>
          </w:rPr>
          <w:t>ousing property list</w:t>
        </w:r>
        <w:r w:rsidR="00536295" w:rsidRPr="007C49E3">
          <w:rPr>
            <w:rStyle w:val="Hyperlink"/>
            <w:rFonts w:eastAsiaTheme="minorHAnsi"/>
            <w:b/>
            <w:bCs/>
            <w:lang w:eastAsia="en-US"/>
          </w:rPr>
          <w:t xml:space="preserve"> within the Housing Practice Guide</w:t>
        </w:r>
      </w:hyperlink>
      <w:r w:rsidR="00080703">
        <w:rPr>
          <w:rFonts w:eastAsiaTheme="minorHAnsi"/>
          <w:lang w:eastAsia="en-US"/>
        </w:rPr>
        <w:t>.</w:t>
      </w:r>
    </w:p>
    <w:p w14:paraId="0189CC42" w14:textId="0AED4FCF" w:rsidR="00276860" w:rsidRPr="00F9374B" w:rsidRDefault="00BE5859" w:rsidP="007245AC">
      <w:pPr>
        <w:pStyle w:val="NoSpacing"/>
        <w:numPr>
          <w:ilvl w:val="1"/>
          <w:numId w:val="16"/>
        </w:numPr>
        <w:ind w:left="567" w:hanging="715"/>
        <w:rPr>
          <w:rFonts w:eastAsiaTheme="minorHAnsi"/>
          <w:lang w:eastAsia="en-US"/>
        </w:rPr>
      </w:pPr>
      <w:r w:rsidRPr="00F9374B">
        <w:rPr>
          <w:rFonts w:eastAsiaTheme="minorHAnsi"/>
          <w:lang w:eastAsia="en-US"/>
        </w:rPr>
        <w:t xml:space="preserve">Social services </w:t>
      </w:r>
      <w:proofErr w:type="gramStart"/>
      <w:r w:rsidRPr="00F9374B">
        <w:rPr>
          <w:rFonts w:eastAsiaTheme="minorHAnsi"/>
          <w:lang w:eastAsia="en-US"/>
        </w:rPr>
        <w:t>has</w:t>
      </w:r>
      <w:proofErr w:type="gramEnd"/>
      <w:r w:rsidRPr="00F9374B">
        <w:rPr>
          <w:rFonts w:eastAsiaTheme="minorHAnsi"/>
          <w:lang w:eastAsia="en-US"/>
        </w:rPr>
        <w:t xml:space="preserve"> a legal responsibility to safeguard the individual’s property. Please refer to the protection of property guidance in the A</w:t>
      </w:r>
      <w:r w:rsidR="00536295" w:rsidRPr="00F9374B">
        <w:rPr>
          <w:rFonts w:eastAsiaTheme="minorHAnsi"/>
          <w:lang w:eastAsia="en-US"/>
        </w:rPr>
        <w:t xml:space="preserve">dult </w:t>
      </w:r>
      <w:r w:rsidRPr="00F9374B">
        <w:rPr>
          <w:rFonts w:eastAsiaTheme="minorHAnsi"/>
          <w:lang w:eastAsia="en-US"/>
        </w:rPr>
        <w:t>S</w:t>
      </w:r>
      <w:r w:rsidR="00536295" w:rsidRPr="00F9374B">
        <w:rPr>
          <w:rFonts w:eastAsiaTheme="minorHAnsi"/>
          <w:lang w:eastAsia="en-US"/>
        </w:rPr>
        <w:t xml:space="preserve">ocial </w:t>
      </w:r>
      <w:r w:rsidRPr="00F9374B">
        <w:rPr>
          <w:rFonts w:eastAsiaTheme="minorHAnsi"/>
          <w:lang w:eastAsia="en-US"/>
        </w:rPr>
        <w:t>C</w:t>
      </w:r>
      <w:r w:rsidR="00536295" w:rsidRPr="00F9374B">
        <w:rPr>
          <w:rFonts w:eastAsiaTheme="minorHAnsi"/>
          <w:lang w:eastAsia="en-US"/>
        </w:rPr>
        <w:t>are</w:t>
      </w:r>
      <w:r w:rsidRPr="00F9374B">
        <w:rPr>
          <w:rFonts w:eastAsiaTheme="minorHAnsi"/>
          <w:lang w:eastAsia="en-US"/>
        </w:rPr>
        <w:t xml:space="preserve"> Practice Guide. </w:t>
      </w:r>
    </w:p>
    <w:p w14:paraId="1E6DB57A" w14:textId="77777777" w:rsidR="00A525D9" w:rsidRPr="00017F78" w:rsidRDefault="00A525D9" w:rsidP="007245AC">
      <w:pPr>
        <w:autoSpaceDE w:val="0"/>
        <w:autoSpaceDN w:val="0"/>
        <w:adjustRightInd w:val="0"/>
        <w:spacing w:after="0" w:line="240" w:lineRule="auto"/>
        <w:rPr>
          <w:rFonts w:ascii="Arial" w:hAnsi="Arial" w:cs="Arial"/>
          <w:sz w:val="24"/>
          <w:szCs w:val="24"/>
        </w:rPr>
      </w:pPr>
    </w:p>
    <w:p w14:paraId="71D7D752" w14:textId="77777777" w:rsidR="0081195B" w:rsidRDefault="0081195B" w:rsidP="007245AC">
      <w:pPr>
        <w:pStyle w:val="Heading1"/>
        <w:jc w:val="left"/>
      </w:pPr>
      <w:bookmarkStart w:id="5" w:name="_Toc62550040"/>
      <w:r w:rsidRPr="009D3911">
        <w:t>Lack</w:t>
      </w:r>
      <w:r w:rsidR="007F5C18" w:rsidRPr="009D3911">
        <w:t>s</w:t>
      </w:r>
      <w:r w:rsidR="00C9605E">
        <w:t xml:space="preserve"> Capacity</w:t>
      </w:r>
      <w:bookmarkEnd w:id="5"/>
    </w:p>
    <w:p w14:paraId="006C4D81" w14:textId="77777777" w:rsidR="00C9605E" w:rsidRPr="009D3911" w:rsidRDefault="00C9605E" w:rsidP="007245AC">
      <w:pPr>
        <w:pStyle w:val="NoSpacing"/>
        <w:ind w:left="284"/>
        <w:rPr>
          <w:b/>
        </w:rPr>
      </w:pPr>
    </w:p>
    <w:p w14:paraId="487BA516" w14:textId="77777777" w:rsidR="00F9374B" w:rsidRDefault="00F90979" w:rsidP="007245AC">
      <w:pPr>
        <w:pStyle w:val="NoSpacing"/>
        <w:numPr>
          <w:ilvl w:val="1"/>
          <w:numId w:val="16"/>
        </w:numPr>
        <w:ind w:left="567" w:hanging="709"/>
      </w:pPr>
      <w:r>
        <w:t xml:space="preserve">If there is reason to believe an individual lacks capacity to consent to beginning or ending a tenancy a clearly documented MCA assessment must be completed. </w:t>
      </w:r>
      <w:r w:rsidR="00CC6A60">
        <w:t>If it</w:t>
      </w:r>
      <w:r w:rsidR="0066792E" w:rsidRPr="009D3911">
        <w:t xml:space="preserve"> is established the person lacks capacity</w:t>
      </w:r>
      <w:r w:rsidR="000452AE">
        <w:t xml:space="preserve"> to </w:t>
      </w:r>
      <w:r w:rsidR="00CC6A60">
        <w:t xml:space="preserve">consent </w:t>
      </w:r>
      <w:r w:rsidR="00A05409" w:rsidRPr="009D3911">
        <w:t xml:space="preserve"> a best </w:t>
      </w:r>
      <w:proofErr w:type="gramStart"/>
      <w:r w:rsidR="00A05409" w:rsidRPr="009D3911">
        <w:t>interest</w:t>
      </w:r>
      <w:r w:rsidR="00DC4418">
        <w:t>s</w:t>
      </w:r>
      <w:proofErr w:type="gramEnd"/>
      <w:r w:rsidR="00641777">
        <w:t xml:space="preserve"> </w:t>
      </w:r>
      <w:r w:rsidR="00A05409" w:rsidRPr="009D3911">
        <w:t>meeting</w:t>
      </w:r>
      <w:r w:rsidR="00CC6A60">
        <w:t>/decision must be made to decide whether it is in the person’s best interest</w:t>
      </w:r>
      <w:r w:rsidR="00DC4418">
        <w:t>s</w:t>
      </w:r>
      <w:r w:rsidR="00CC6A60">
        <w:t xml:space="preserve"> to enter into a tenancy or have the tenancy terminated.</w:t>
      </w:r>
      <w:r w:rsidR="00A05409" w:rsidRPr="009D3911">
        <w:t xml:space="preserve"> </w:t>
      </w:r>
    </w:p>
    <w:p w14:paraId="46922DE8" w14:textId="474C6BA4" w:rsidR="00F9374B" w:rsidRDefault="00536295" w:rsidP="007245AC">
      <w:pPr>
        <w:pStyle w:val="NoSpacing"/>
        <w:numPr>
          <w:ilvl w:val="1"/>
          <w:numId w:val="16"/>
        </w:numPr>
        <w:ind w:left="567" w:hanging="709"/>
      </w:pPr>
      <w:r w:rsidRPr="00D8474A">
        <w:t>It is important to consider any potential deprivation of liberty</w:t>
      </w:r>
      <w:r>
        <w:t xml:space="preserve"> (</w:t>
      </w:r>
      <w:proofErr w:type="spellStart"/>
      <w:r>
        <w:t>DoLS</w:t>
      </w:r>
      <w:proofErr w:type="spellEnd"/>
      <w:r>
        <w:t>) issues as part of the</w:t>
      </w:r>
      <w:r w:rsidRPr="00D8474A">
        <w:t xml:space="preserve"> best </w:t>
      </w:r>
      <w:proofErr w:type="gramStart"/>
      <w:r w:rsidRPr="00D8474A">
        <w:t>interest</w:t>
      </w:r>
      <w:r>
        <w:t>s</w:t>
      </w:r>
      <w:proofErr w:type="gramEnd"/>
      <w:r w:rsidRPr="00D8474A">
        <w:t xml:space="preserve"> decision making process. Where deprivation of liberty is indicated the necessary referrals/authorisations must be sought/obtained. Wher</w:t>
      </w:r>
      <w:r>
        <w:t xml:space="preserve">e unclear contact the </w:t>
      </w:r>
      <w:proofErr w:type="spellStart"/>
      <w:r>
        <w:t>D</w:t>
      </w:r>
      <w:r w:rsidR="00F46721">
        <w:t>o</w:t>
      </w:r>
      <w:r>
        <w:t>LS</w:t>
      </w:r>
      <w:proofErr w:type="spellEnd"/>
      <w:r>
        <w:t xml:space="preserve"> team. The same principle will apply when</w:t>
      </w:r>
      <w:r w:rsidRPr="00D8474A">
        <w:t xml:space="preserve"> </w:t>
      </w:r>
      <w:proofErr w:type="spellStart"/>
      <w:r w:rsidRPr="00D8474A">
        <w:t>D</w:t>
      </w:r>
      <w:r w:rsidR="00F46721">
        <w:t>o</w:t>
      </w:r>
      <w:r w:rsidRPr="00D8474A">
        <w:t>LS</w:t>
      </w:r>
      <w:proofErr w:type="spellEnd"/>
      <w:r w:rsidRPr="00D8474A">
        <w:t xml:space="preserve"> is replaced with Liberty</w:t>
      </w:r>
      <w:r w:rsidR="00F9374B">
        <w:t xml:space="preserve"> Protection Safeguards.</w:t>
      </w:r>
    </w:p>
    <w:p w14:paraId="4CCAAF8C" w14:textId="0CFBE22D" w:rsidR="00F9374B" w:rsidRDefault="00F90979" w:rsidP="007245AC">
      <w:pPr>
        <w:pStyle w:val="NoSpacing"/>
        <w:numPr>
          <w:ilvl w:val="1"/>
          <w:numId w:val="16"/>
        </w:numPr>
        <w:ind w:left="567" w:hanging="709"/>
      </w:pPr>
      <w:r>
        <w:t>If there is a</w:t>
      </w:r>
      <w:r w:rsidR="00F63F3E">
        <w:t>n</w:t>
      </w:r>
      <w:r w:rsidR="00D8474A">
        <w:t xml:space="preserve"> L</w:t>
      </w:r>
      <w:r w:rsidR="00E841F5">
        <w:t>PA</w:t>
      </w:r>
      <w:r w:rsidR="00D8474A">
        <w:t xml:space="preserve"> or deputy</w:t>
      </w:r>
      <w:r>
        <w:t xml:space="preserve"> for property and </w:t>
      </w:r>
      <w:proofErr w:type="gramStart"/>
      <w:r>
        <w:t>affairs</w:t>
      </w:r>
      <w:proofErr w:type="gramEnd"/>
      <w:r w:rsidR="00D8474A">
        <w:t xml:space="preserve"> please </w:t>
      </w:r>
      <w:proofErr w:type="spellStart"/>
      <w:r w:rsidR="00D8474A">
        <w:t>liase</w:t>
      </w:r>
      <w:proofErr w:type="spellEnd"/>
      <w:r w:rsidR="00D8474A">
        <w:t xml:space="preserve"> with the relevant person</w:t>
      </w:r>
      <w:r>
        <w:t xml:space="preserve"> if they have the authority to start or end the tenancy. Please ensure you see the order to verify that the LPA or deputy has authority to make the decision.</w:t>
      </w:r>
      <w:r w:rsidR="00D8474A">
        <w:t xml:space="preserve"> </w:t>
      </w:r>
    </w:p>
    <w:p w14:paraId="40B481AE" w14:textId="004988DC" w:rsidR="00310D5E" w:rsidRPr="00F9374B" w:rsidRDefault="00663FDC" w:rsidP="007245AC">
      <w:pPr>
        <w:pStyle w:val="NoSpacing"/>
        <w:numPr>
          <w:ilvl w:val="1"/>
          <w:numId w:val="16"/>
        </w:numPr>
        <w:ind w:left="567" w:hanging="709"/>
      </w:pPr>
      <w:r>
        <w:t xml:space="preserve">Please refer to section 8 and 9 on family responsibilities and advocacy. </w:t>
      </w:r>
      <w:r w:rsidR="00D8474A">
        <w:t>If there is no appointed LPA or deputy the person must be referred to Court of Protection</w:t>
      </w:r>
      <w:r w:rsidR="00E841F5">
        <w:t xml:space="preserve"> (CoP)</w:t>
      </w:r>
      <w:r w:rsidR="00D8474A">
        <w:t xml:space="preserve"> for th</w:t>
      </w:r>
      <w:r>
        <w:t>e final decision</w:t>
      </w:r>
      <w:r w:rsidR="00D8474A">
        <w:t xml:space="preserve"> </w:t>
      </w:r>
      <w:r w:rsidR="00405535" w:rsidRPr="009D3911">
        <w:t>A</w:t>
      </w:r>
      <w:r w:rsidR="00772762" w:rsidRPr="009D3911">
        <w:t xml:space="preserve"> refe</w:t>
      </w:r>
      <w:r w:rsidR="00405535" w:rsidRPr="009D3911">
        <w:t>rral to an independent ad</w:t>
      </w:r>
      <w:r w:rsidR="00546505">
        <w:t>vocate must also be considered</w:t>
      </w:r>
      <w:r w:rsidR="007B6087">
        <w:t xml:space="preserve"> if the person is </w:t>
      </w:r>
      <w:proofErr w:type="spellStart"/>
      <w:r w:rsidR="007B6087">
        <w:t>unbefriended</w:t>
      </w:r>
      <w:proofErr w:type="spellEnd"/>
      <w:r>
        <w:t xml:space="preserve">. </w:t>
      </w:r>
    </w:p>
    <w:p w14:paraId="67DFD8E2" w14:textId="77777777" w:rsidR="00A525D9" w:rsidRDefault="00A525D9" w:rsidP="007245AC">
      <w:pPr>
        <w:rPr>
          <w:rFonts w:ascii="Arial" w:hAnsi="Arial" w:cs="Arial"/>
          <w:sz w:val="24"/>
          <w:szCs w:val="24"/>
        </w:rPr>
      </w:pPr>
    </w:p>
    <w:p w14:paraId="11904CCB" w14:textId="77777777" w:rsidR="00CB5384" w:rsidRDefault="00CB5384" w:rsidP="007245AC">
      <w:pPr>
        <w:pStyle w:val="Heading1"/>
        <w:jc w:val="left"/>
        <w:rPr>
          <w:rFonts w:eastAsiaTheme="minorHAnsi"/>
        </w:rPr>
      </w:pPr>
      <w:bookmarkStart w:id="6" w:name="_Toc62550041"/>
      <w:r>
        <w:rPr>
          <w:rFonts w:eastAsiaTheme="minorHAnsi"/>
        </w:rPr>
        <w:t>Preventing Delay</w:t>
      </w:r>
      <w:bookmarkEnd w:id="6"/>
    </w:p>
    <w:p w14:paraId="67DEB06E" w14:textId="77777777" w:rsidR="00CB5384" w:rsidRDefault="00CB5384" w:rsidP="007245AC">
      <w:pPr>
        <w:pStyle w:val="NoSpacing"/>
        <w:ind w:left="284"/>
        <w:rPr>
          <w:rFonts w:eastAsiaTheme="minorHAnsi"/>
          <w:b/>
          <w:lang w:eastAsia="en-US"/>
        </w:rPr>
      </w:pPr>
    </w:p>
    <w:p w14:paraId="77C2D7B1" w14:textId="6E339A2A" w:rsidR="00F9374B" w:rsidRDefault="00CB5384" w:rsidP="007245AC">
      <w:pPr>
        <w:pStyle w:val="NoSpacing"/>
        <w:numPr>
          <w:ilvl w:val="1"/>
          <w:numId w:val="16"/>
        </w:numPr>
        <w:ind w:left="567" w:hanging="709"/>
        <w:rPr>
          <w:rFonts w:eastAsiaTheme="minorHAnsi"/>
          <w:lang w:eastAsia="en-US"/>
        </w:rPr>
      </w:pPr>
      <w:r>
        <w:rPr>
          <w:rFonts w:eastAsiaTheme="minorHAnsi"/>
          <w:lang w:eastAsia="en-US"/>
        </w:rPr>
        <w:lastRenderedPageBreak/>
        <w:t xml:space="preserve">If </w:t>
      </w:r>
      <w:r w:rsidR="007B6087">
        <w:rPr>
          <w:rFonts w:eastAsiaTheme="minorHAnsi"/>
          <w:lang w:eastAsia="en-US"/>
        </w:rPr>
        <w:t xml:space="preserve">the person lacks capacity and </w:t>
      </w:r>
      <w:r>
        <w:rPr>
          <w:rFonts w:eastAsiaTheme="minorHAnsi"/>
          <w:lang w:eastAsia="en-US"/>
        </w:rPr>
        <w:t>the best interest</w:t>
      </w:r>
      <w:r w:rsidR="00DC4418">
        <w:rPr>
          <w:rFonts w:eastAsiaTheme="minorHAnsi"/>
          <w:lang w:eastAsia="en-US"/>
        </w:rPr>
        <w:t>s</w:t>
      </w:r>
      <w:r>
        <w:rPr>
          <w:rFonts w:eastAsiaTheme="minorHAnsi"/>
          <w:lang w:eastAsia="en-US"/>
        </w:rPr>
        <w:t xml:space="preserve"> process has confirmed that it is in the persons best interest</w:t>
      </w:r>
      <w:r w:rsidR="00DC4418">
        <w:rPr>
          <w:rFonts w:eastAsiaTheme="minorHAnsi"/>
          <w:lang w:eastAsia="en-US"/>
        </w:rPr>
        <w:t>s</w:t>
      </w:r>
      <w:r w:rsidR="00BC4C84">
        <w:rPr>
          <w:rFonts w:eastAsiaTheme="minorHAnsi"/>
          <w:lang w:eastAsia="en-US"/>
        </w:rPr>
        <w:t xml:space="preserve"> to either start</w:t>
      </w:r>
      <w:r>
        <w:rPr>
          <w:rFonts w:eastAsiaTheme="minorHAnsi"/>
          <w:lang w:eastAsia="en-US"/>
        </w:rPr>
        <w:t xml:space="preserve"> and/or relinquish a tenancy</w:t>
      </w:r>
      <w:r w:rsidR="007B6087">
        <w:rPr>
          <w:rFonts w:eastAsiaTheme="minorHAnsi"/>
          <w:lang w:eastAsia="en-US"/>
        </w:rPr>
        <w:t xml:space="preserve"> the</w:t>
      </w:r>
      <w:r>
        <w:rPr>
          <w:rFonts w:eastAsiaTheme="minorHAnsi"/>
          <w:lang w:eastAsia="en-US"/>
        </w:rPr>
        <w:t xml:space="preserve"> </w:t>
      </w:r>
      <w:r w:rsidRPr="0055466C">
        <w:rPr>
          <w:rFonts w:eastAsiaTheme="minorHAnsi"/>
          <w:b/>
          <w:lang w:eastAsia="en-US"/>
        </w:rPr>
        <w:t>Co</w:t>
      </w:r>
      <w:r w:rsidR="00582EB2" w:rsidRPr="0055466C">
        <w:rPr>
          <w:rFonts w:eastAsiaTheme="minorHAnsi"/>
          <w:b/>
          <w:lang w:eastAsia="en-US"/>
        </w:rPr>
        <w:t xml:space="preserve">urt of </w:t>
      </w:r>
      <w:r w:rsidRPr="0055466C">
        <w:rPr>
          <w:rFonts w:eastAsiaTheme="minorHAnsi"/>
          <w:b/>
          <w:lang w:eastAsia="en-US"/>
        </w:rPr>
        <w:t>P</w:t>
      </w:r>
      <w:r w:rsidR="00582EB2" w:rsidRPr="0055466C">
        <w:rPr>
          <w:rFonts w:eastAsiaTheme="minorHAnsi"/>
          <w:b/>
          <w:lang w:eastAsia="en-US"/>
        </w:rPr>
        <w:t>rotection</w:t>
      </w:r>
      <w:r w:rsidRPr="0055466C">
        <w:rPr>
          <w:rFonts w:eastAsiaTheme="minorHAnsi"/>
          <w:b/>
          <w:lang w:eastAsia="en-US"/>
        </w:rPr>
        <w:t xml:space="preserve"> process </w:t>
      </w:r>
      <w:r w:rsidR="00D8474A" w:rsidRPr="0055466C">
        <w:rPr>
          <w:rFonts w:eastAsiaTheme="minorHAnsi"/>
          <w:b/>
          <w:lang w:eastAsia="en-US"/>
        </w:rPr>
        <w:t>must be started as soon as possible to  prevent</w:t>
      </w:r>
      <w:r w:rsidRPr="0055466C">
        <w:rPr>
          <w:rFonts w:eastAsiaTheme="minorHAnsi"/>
          <w:b/>
          <w:lang w:eastAsia="en-US"/>
        </w:rPr>
        <w:t xml:space="preserve"> delay</w:t>
      </w:r>
      <w:r w:rsidR="007B6087" w:rsidRPr="0055466C">
        <w:rPr>
          <w:rFonts w:eastAsiaTheme="minorHAnsi"/>
          <w:b/>
          <w:lang w:eastAsia="en-US"/>
        </w:rPr>
        <w:t>.</w:t>
      </w:r>
      <w:r w:rsidR="00E06EC7">
        <w:rPr>
          <w:rFonts w:eastAsiaTheme="minorHAnsi"/>
          <w:lang w:eastAsia="en-US"/>
        </w:rPr>
        <w:t xml:space="preserve"> The referral to </w:t>
      </w:r>
      <w:r w:rsidR="004A5333">
        <w:rPr>
          <w:rFonts w:eastAsiaTheme="minorHAnsi"/>
          <w:lang w:eastAsia="en-US"/>
        </w:rPr>
        <w:t xml:space="preserve">the </w:t>
      </w:r>
      <w:r w:rsidR="00E06EC7">
        <w:rPr>
          <w:rFonts w:eastAsiaTheme="minorHAnsi"/>
          <w:lang w:eastAsia="en-US"/>
        </w:rPr>
        <w:t>Court of Protection can take place as soon as the person moves into a home</w:t>
      </w:r>
      <w:r w:rsidR="00536295">
        <w:rPr>
          <w:rFonts w:eastAsiaTheme="minorHAnsi"/>
          <w:lang w:eastAsia="en-US"/>
        </w:rPr>
        <w:t>,</w:t>
      </w:r>
      <w:r w:rsidR="00E06EC7">
        <w:rPr>
          <w:rFonts w:eastAsiaTheme="minorHAnsi"/>
          <w:lang w:eastAsia="en-US"/>
        </w:rPr>
        <w:t xml:space="preserve"> it does not have to wait until the </w:t>
      </w:r>
      <w:proofErr w:type="gramStart"/>
      <w:r w:rsidR="00E06EC7">
        <w:rPr>
          <w:rFonts w:eastAsiaTheme="minorHAnsi"/>
          <w:lang w:eastAsia="en-US"/>
        </w:rPr>
        <w:t>6 week</w:t>
      </w:r>
      <w:proofErr w:type="gramEnd"/>
      <w:r w:rsidR="00E06EC7">
        <w:rPr>
          <w:rFonts w:eastAsiaTheme="minorHAnsi"/>
          <w:lang w:eastAsia="en-US"/>
        </w:rPr>
        <w:t xml:space="preserve"> review. If there is a </w:t>
      </w:r>
      <w:r w:rsidR="00C63438">
        <w:rPr>
          <w:rFonts w:eastAsiaTheme="minorHAnsi"/>
          <w:lang w:eastAsia="en-US"/>
        </w:rPr>
        <w:t>disagreement</w:t>
      </w:r>
      <w:r w:rsidR="00E06EC7">
        <w:rPr>
          <w:rFonts w:eastAsiaTheme="minorHAnsi"/>
          <w:lang w:eastAsia="en-US"/>
        </w:rPr>
        <w:t xml:space="preserve"> about the placement legal advice should be sought. </w:t>
      </w:r>
    </w:p>
    <w:p w14:paraId="20CBE70C" w14:textId="43668F8A" w:rsidR="00F9374B" w:rsidRDefault="00E06EC7" w:rsidP="007245AC">
      <w:pPr>
        <w:pStyle w:val="NoSpacing"/>
        <w:numPr>
          <w:ilvl w:val="1"/>
          <w:numId w:val="16"/>
        </w:numPr>
        <w:ind w:left="567" w:hanging="709"/>
        <w:rPr>
          <w:rFonts w:eastAsiaTheme="minorHAnsi"/>
          <w:lang w:eastAsia="en-US"/>
        </w:rPr>
      </w:pPr>
      <w:r>
        <w:t xml:space="preserve">The Court of Protection will require evidence that the </w:t>
      </w:r>
      <w:r w:rsidR="00DC2673">
        <w:t>new accommodati</w:t>
      </w:r>
      <w:r>
        <w:t>on meets the individual’s needs</w:t>
      </w:r>
      <w:r w:rsidR="006113E2">
        <w:t xml:space="preserve"> and they</w:t>
      </w:r>
      <w:r w:rsidR="006E4F02">
        <w:t xml:space="preserve"> and their relatives have been </w:t>
      </w:r>
      <w:r w:rsidR="00F36513">
        <w:t>c</w:t>
      </w:r>
      <w:r w:rsidR="006E4F02">
        <w:t>onsulted on the placement and are content with it. The views of the</w:t>
      </w:r>
      <w:r w:rsidR="00F36513">
        <w:t xml:space="preserve"> person and their relat</w:t>
      </w:r>
      <w:r w:rsidR="00F46721">
        <w:t>i</w:t>
      </w:r>
      <w:r w:rsidR="00F36513">
        <w:t>ves need</w:t>
      </w:r>
      <w:r w:rsidR="006E4F02">
        <w:t xml:space="preserve"> to be included in the social worker’s court of protection statement. </w:t>
      </w:r>
    </w:p>
    <w:p w14:paraId="18458240" w14:textId="2E3E12D4" w:rsidR="00CB5384" w:rsidRPr="00F9374B" w:rsidRDefault="00E44863" w:rsidP="007245AC">
      <w:pPr>
        <w:pStyle w:val="NoSpacing"/>
        <w:numPr>
          <w:ilvl w:val="1"/>
          <w:numId w:val="16"/>
        </w:numPr>
        <w:ind w:left="567" w:hanging="709"/>
        <w:rPr>
          <w:rFonts w:eastAsiaTheme="minorHAnsi"/>
          <w:lang w:eastAsia="en-US"/>
        </w:rPr>
      </w:pPr>
      <w:r w:rsidRPr="00F9374B">
        <w:rPr>
          <w:rStyle w:val="normaltextrun"/>
          <w:rFonts w:eastAsia="Arial"/>
          <w:color w:val="000000"/>
          <w:shd w:val="clear" w:color="auto" w:fill="FFFFFF"/>
        </w:rPr>
        <w:t>If there is a deputy order in</w:t>
      </w:r>
      <w:r w:rsidR="00F46721" w:rsidRPr="00F9374B">
        <w:rPr>
          <w:rStyle w:val="normaltextrun"/>
          <w:rFonts w:eastAsia="Arial"/>
          <w:color w:val="000000"/>
          <w:shd w:val="clear" w:color="auto" w:fill="FFFFFF"/>
        </w:rPr>
        <w:t xml:space="preserve"> </w:t>
      </w:r>
      <w:r w:rsidRPr="00F9374B">
        <w:rPr>
          <w:rStyle w:val="contextualspellingandgrammarerror"/>
          <w:color w:val="000000"/>
          <w:shd w:val="clear" w:color="auto" w:fill="FFFFFF"/>
        </w:rPr>
        <w:t>place</w:t>
      </w:r>
      <w:r w:rsidR="00F46721" w:rsidRPr="00F9374B">
        <w:rPr>
          <w:rStyle w:val="normaltextrun"/>
          <w:rFonts w:eastAsia="Arial"/>
          <w:color w:val="000000"/>
          <w:shd w:val="clear" w:color="auto" w:fill="FFFFFF"/>
        </w:rPr>
        <w:t xml:space="preserve">, </w:t>
      </w:r>
      <w:r w:rsidRPr="00F9374B">
        <w:rPr>
          <w:rStyle w:val="normaltextrun"/>
          <w:rFonts w:eastAsia="Arial"/>
          <w:color w:val="000000"/>
          <w:shd w:val="clear" w:color="auto" w:fill="FFFFFF"/>
        </w:rPr>
        <w:t>please confirm with the individual who holds the orde</w:t>
      </w:r>
      <w:r w:rsidR="00953585" w:rsidRPr="00F9374B">
        <w:rPr>
          <w:rStyle w:val="normaltextrun"/>
          <w:rFonts w:eastAsia="Arial"/>
          <w:color w:val="000000"/>
          <w:shd w:val="clear" w:color="auto" w:fill="FFFFFF"/>
        </w:rPr>
        <w:t xml:space="preserve">r </w:t>
      </w:r>
      <w:r w:rsidR="00F46721" w:rsidRPr="00F9374B">
        <w:rPr>
          <w:rStyle w:val="normaltextrun"/>
          <w:rFonts w:eastAsia="Arial"/>
          <w:color w:val="000000"/>
          <w:shd w:val="clear" w:color="auto" w:fill="FFFFFF"/>
        </w:rPr>
        <w:t xml:space="preserve">on </w:t>
      </w:r>
      <w:r w:rsidR="00953585" w:rsidRPr="00F9374B">
        <w:rPr>
          <w:rStyle w:val="normaltextrun"/>
          <w:rFonts w:eastAsia="Arial"/>
          <w:color w:val="000000"/>
          <w:shd w:val="clear" w:color="auto" w:fill="FFFFFF"/>
        </w:rPr>
        <w:t>the best course of action. It is important to verify whether they have the authority to end the individual’s tenancy as not all deputies can</w:t>
      </w:r>
      <w:r w:rsidRPr="00F9374B">
        <w:rPr>
          <w:rStyle w:val="normaltextrun"/>
          <w:rFonts w:eastAsia="Arial"/>
          <w:color w:val="000000"/>
          <w:shd w:val="clear" w:color="auto" w:fill="FFFFFF"/>
        </w:rPr>
        <w:t xml:space="preserve">. </w:t>
      </w:r>
    </w:p>
    <w:p w14:paraId="3DA29612" w14:textId="77777777" w:rsidR="00C63438" w:rsidRPr="00B14E3E" w:rsidRDefault="00C63438" w:rsidP="007245AC">
      <w:pPr>
        <w:pStyle w:val="NoSpacing"/>
        <w:ind w:left="567" w:hanging="709"/>
      </w:pPr>
    </w:p>
    <w:p w14:paraId="2164174E" w14:textId="77777777" w:rsidR="0081195B" w:rsidRDefault="00332D6D" w:rsidP="007245AC">
      <w:pPr>
        <w:pStyle w:val="Heading1"/>
        <w:ind w:left="567" w:hanging="709"/>
        <w:jc w:val="left"/>
      </w:pPr>
      <w:bookmarkStart w:id="7" w:name="_Toc62550042"/>
      <w:r w:rsidRPr="009D3911">
        <w:t>IMCA/Advocate</w:t>
      </w:r>
      <w:bookmarkEnd w:id="7"/>
    </w:p>
    <w:p w14:paraId="17DED691" w14:textId="77777777" w:rsidR="00C9605E" w:rsidRPr="009D3911" w:rsidRDefault="00C9605E" w:rsidP="007245AC">
      <w:pPr>
        <w:pStyle w:val="NoSpacing"/>
        <w:ind w:left="567" w:hanging="709"/>
        <w:rPr>
          <w:b/>
        </w:rPr>
      </w:pPr>
    </w:p>
    <w:p w14:paraId="51B871FE" w14:textId="77777777" w:rsidR="00F9374B" w:rsidRDefault="00332D6D" w:rsidP="007245AC">
      <w:pPr>
        <w:pStyle w:val="NoSpacing"/>
        <w:numPr>
          <w:ilvl w:val="1"/>
          <w:numId w:val="16"/>
        </w:numPr>
        <w:ind w:left="567" w:hanging="709"/>
        <w:rPr>
          <w:rFonts w:eastAsiaTheme="minorHAnsi"/>
          <w:lang w:eastAsia="en-US"/>
        </w:rPr>
      </w:pPr>
      <w:r w:rsidRPr="00C5368A">
        <w:rPr>
          <w:rFonts w:eastAsiaTheme="minorHAnsi"/>
          <w:lang w:eastAsia="en-US"/>
        </w:rPr>
        <w:t xml:space="preserve">The role of the </w:t>
      </w:r>
      <w:r>
        <w:rPr>
          <w:rFonts w:eastAsiaTheme="minorHAnsi"/>
          <w:lang w:eastAsia="en-US"/>
        </w:rPr>
        <w:t>Independent Mental Capacity Advocate (</w:t>
      </w:r>
      <w:r w:rsidRPr="00C5368A">
        <w:rPr>
          <w:rFonts w:eastAsiaTheme="minorHAnsi"/>
          <w:lang w:eastAsia="en-US"/>
        </w:rPr>
        <w:t>IMCA</w:t>
      </w:r>
      <w:r>
        <w:rPr>
          <w:rFonts w:eastAsiaTheme="minorHAnsi"/>
          <w:lang w:eastAsia="en-US"/>
        </w:rPr>
        <w:t>) is</w:t>
      </w:r>
      <w:r w:rsidRPr="00C5368A">
        <w:rPr>
          <w:rFonts w:eastAsiaTheme="minorHAnsi"/>
          <w:lang w:eastAsia="en-US"/>
        </w:rPr>
        <w:t xml:space="preserve"> to support and represent people who lack capacity</w:t>
      </w:r>
      <w:r w:rsidR="00772762">
        <w:rPr>
          <w:rFonts w:eastAsiaTheme="minorHAnsi"/>
          <w:lang w:eastAsia="en-US"/>
        </w:rPr>
        <w:t xml:space="preserve"> and </w:t>
      </w:r>
      <w:r w:rsidRPr="00C5368A">
        <w:rPr>
          <w:rFonts w:eastAsiaTheme="minorHAnsi"/>
          <w:lang w:eastAsia="en-US"/>
        </w:rPr>
        <w:t xml:space="preserve">have </w:t>
      </w:r>
      <w:r w:rsidR="000A2376" w:rsidRPr="00C5368A">
        <w:rPr>
          <w:rFonts w:eastAsiaTheme="minorHAnsi"/>
          <w:lang w:eastAsia="en-US"/>
        </w:rPr>
        <w:t>no one</w:t>
      </w:r>
      <w:r w:rsidR="00772762">
        <w:rPr>
          <w:rFonts w:eastAsiaTheme="minorHAnsi"/>
          <w:lang w:eastAsia="en-US"/>
        </w:rPr>
        <w:t xml:space="preserve"> else to support them with</w:t>
      </w:r>
      <w:r w:rsidRPr="00C5368A">
        <w:rPr>
          <w:rFonts w:eastAsiaTheme="minorHAnsi"/>
          <w:lang w:eastAsia="en-US"/>
        </w:rPr>
        <w:t xml:space="preserve"> major, potentially life-changing d</w:t>
      </w:r>
      <w:r>
        <w:rPr>
          <w:rFonts w:eastAsiaTheme="minorHAnsi"/>
          <w:lang w:eastAsia="en-US"/>
        </w:rPr>
        <w:t>ecisions</w:t>
      </w:r>
      <w:r w:rsidR="00772762">
        <w:rPr>
          <w:rFonts w:eastAsiaTheme="minorHAnsi"/>
          <w:lang w:eastAsia="en-US"/>
        </w:rPr>
        <w:t xml:space="preserve">. </w:t>
      </w:r>
      <w:r w:rsidR="00F36513">
        <w:rPr>
          <w:rFonts w:eastAsiaTheme="minorHAnsi"/>
          <w:lang w:eastAsia="en-US"/>
        </w:rPr>
        <w:t>IMCA</w:t>
      </w:r>
      <w:r>
        <w:rPr>
          <w:rFonts w:eastAsiaTheme="minorHAnsi"/>
          <w:lang w:eastAsia="en-US"/>
        </w:rPr>
        <w:t>s cannot sign a tenancy on behalf of a person</w:t>
      </w:r>
      <w:r w:rsidR="00261A48">
        <w:rPr>
          <w:rFonts w:eastAsiaTheme="minorHAnsi"/>
          <w:lang w:eastAsia="en-US"/>
        </w:rPr>
        <w:t xml:space="preserve"> as</w:t>
      </w:r>
      <w:r w:rsidR="00C63438">
        <w:rPr>
          <w:rFonts w:eastAsiaTheme="minorHAnsi"/>
          <w:lang w:eastAsia="en-US"/>
        </w:rPr>
        <w:t xml:space="preserve"> they act as an advocate only.</w:t>
      </w:r>
    </w:p>
    <w:p w14:paraId="4263E5F5" w14:textId="7E8BC732" w:rsidR="00F62DBB" w:rsidRPr="00C61733" w:rsidRDefault="00332D6D" w:rsidP="00F62DBB">
      <w:pPr>
        <w:pStyle w:val="NoSpacing"/>
        <w:numPr>
          <w:ilvl w:val="1"/>
          <w:numId w:val="16"/>
        </w:numPr>
        <w:ind w:left="567" w:hanging="709"/>
        <w:rPr>
          <w:rFonts w:eastAsiaTheme="minorHAnsi"/>
          <w:lang w:eastAsia="en-US"/>
        </w:rPr>
      </w:pPr>
      <w:r w:rsidRPr="00F9374B">
        <w:rPr>
          <w:rFonts w:eastAsiaTheme="minorHAnsi"/>
          <w:lang w:eastAsia="en-US"/>
        </w:rPr>
        <w:t>In some situations where family and friends are involved there may be concerns about a potential conflict of interest</w:t>
      </w:r>
      <w:r w:rsidR="00DC4418" w:rsidRPr="00F9374B">
        <w:rPr>
          <w:rFonts w:eastAsiaTheme="minorHAnsi"/>
          <w:lang w:eastAsia="en-US"/>
        </w:rPr>
        <w:t>s</w:t>
      </w:r>
      <w:r w:rsidRPr="00F9374B">
        <w:rPr>
          <w:rFonts w:eastAsiaTheme="minorHAnsi"/>
          <w:lang w:eastAsia="en-US"/>
        </w:rPr>
        <w:t xml:space="preserve">, especially when relinquishing a tenancy. If this is the </w:t>
      </w:r>
      <w:proofErr w:type="gramStart"/>
      <w:r w:rsidRPr="00F9374B">
        <w:rPr>
          <w:rFonts w:eastAsiaTheme="minorHAnsi"/>
          <w:lang w:eastAsia="en-US"/>
        </w:rPr>
        <w:t>case</w:t>
      </w:r>
      <w:proofErr w:type="gramEnd"/>
      <w:r w:rsidRPr="00F9374B">
        <w:rPr>
          <w:rFonts w:eastAsiaTheme="minorHAnsi"/>
          <w:lang w:eastAsia="en-US"/>
        </w:rPr>
        <w:t xml:space="preserve"> then it is vital</w:t>
      </w:r>
      <w:r w:rsidR="001E35AB" w:rsidRPr="00F9374B">
        <w:rPr>
          <w:rFonts w:eastAsiaTheme="minorHAnsi"/>
          <w:lang w:eastAsia="en-US"/>
        </w:rPr>
        <w:t xml:space="preserve"> to instruct an IMCA</w:t>
      </w:r>
      <w:r w:rsidR="00E71EFA" w:rsidRPr="00F9374B">
        <w:rPr>
          <w:rFonts w:eastAsiaTheme="minorHAnsi"/>
          <w:lang w:eastAsia="en-US"/>
        </w:rPr>
        <w:t>.</w:t>
      </w:r>
      <w:r w:rsidR="00536295" w:rsidRPr="00F9374B">
        <w:rPr>
          <w:rFonts w:eastAsiaTheme="minorHAnsi"/>
          <w:lang w:eastAsia="en-US"/>
        </w:rPr>
        <w:t xml:space="preserve"> Further information on IMCAs can be found on the </w:t>
      </w:r>
      <w:bookmarkStart w:id="8" w:name="_Hlk61017258"/>
      <w:r w:rsidR="001B13CD" w:rsidRPr="00F62DBB">
        <w:rPr>
          <w:rFonts w:eastAsiaTheme="minorHAnsi"/>
          <w:b/>
          <w:bCs/>
          <w:lang w:eastAsia="en-US"/>
        </w:rPr>
        <w:fldChar w:fldCharType="begin"/>
      </w:r>
      <w:r w:rsidR="001B13CD" w:rsidRPr="00F62DBB">
        <w:rPr>
          <w:rFonts w:eastAsiaTheme="minorHAnsi"/>
          <w:b/>
          <w:bCs/>
          <w:lang w:eastAsia="en-US"/>
        </w:rPr>
        <w:instrText xml:space="preserve"> HYPERLINK "https://ascpractice.camden.gov.uk/mental-capacity-and-dols-1/advocacy/" </w:instrText>
      </w:r>
      <w:r w:rsidR="001B13CD" w:rsidRPr="00F62DBB">
        <w:rPr>
          <w:rFonts w:eastAsiaTheme="minorHAnsi"/>
          <w:b/>
          <w:bCs/>
          <w:lang w:eastAsia="en-US"/>
        </w:rPr>
      </w:r>
      <w:r w:rsidR="001B13CD" w:rsidRPr="00F62DBB">
        <w:rPr>
          <w:rFonts w:eastAsiaTheme="minorHAnsi"/>
          <w:b/>
          <w:bCs/>
          <w:lang w:eastAsia="en-US"/>
        </w:rPr>
        <w:fldChar w:fldCharType="separate"/>
      </w:r>
      <w:r w:rsidR="00536295" w:rsidRPr="00F62DBB">
        <w:rPr>
          <w:rStyle w:val="Hyperlink"/>
          <w:rFonts w:eastAsiaTheme="minorHAnsi"/>
          <w:b/>
          <w:bCs/>
          <w:lang w:eastAsia="en-US"/>
        </w:rPr>
        <w:t>ASC Practice Guide</w:t>
      </w:r>
      <w:bookmarkEnd w:id="8"/>
      <w:r w:rsidR="001B13CD" w:rsidRPr="00F62DBB">
        <w:rPr>
          <w:rFonts w:eastAsiaTheme="minorHAnsi"/>
          <w:b/>
          <w:bCs/>
          <w:lang w:eastAsia="en-US"/>
        </w:rPr>
        <w:fldChar w:fldCharType="end"/>
      </w:r>
      <w:r w:rsidRPr="00F9374B">
        <w:rPr>
          <w:rFonts w:eastAsiaTheme="minorHAnsi"/>
          <w:lang w:eastAsia="en-US"/>
        </w:rPr>
        <w:t xml:space="preserve"> </w:t>
      </w:r>
      <w:r w:rsidR="001B13CD" w:rsidRPr="00F9374B">
        <w:rPr>
          <w:rFonts w:eastAsiaTheme="minorHAnsi"/>
          <w:lang w:eastAsia="en-US"/>
        </w:rPr>
        <w:t>and a referral</w:t>
      </w:r>
      <w:r w:rsidR="00536295" w:rsidRPr="00F9374B">
        <w:rPr>
          <w:rFonts w:eastAsiaTheme="minorHAnsi"/>
          <w:lang w:eastAsia="en-US"/>
        </w:rPr>
        <w:t xml:space="preserve"> can be made</w:t>
      </w:r>
      <w:r w:rsidR="00536295">
        <w:t xml:space="preserve"> usin</w:t>
      </w:r>
      <w:r w:rsidR="00084DD8">
        <w:t>g</w:t>
      </w:r>
      <w:r w:rsidR="00C61733">
        <w:t xml:space="preserve"> </w:t>
      </w:r>
    </w:p>
    <w:p w14:paraId="6D88C5F0" w14:textId="31251792" w:rsidR="00536295" w:rsidRPr="00C61733" w:rsidRDefault="00C61733" w:rsidP="00C61733">
      <w:pPr>
        <w:pStyle w:val="NoSpacing"/>
        <w:ind w:left="567"/>
        <w:rPr>
          <w:rFonts w:eastAsiaTheme="minorHAnsi"/>
          <w:lang w:eastAsia="en-US"/>
        </w:rPr>
      </w:pPr>
      <w:hyperlink r:id="rId13" w:anchor="main" w:history="1">
        <w:r w:rsidRPr="00C61733">
          <w:rPr>
            <w:rStyle w:val="Hyperlink"/>
            <w:rFonts w:eastAsiaTheme="minorHAnsi"/>
            <w:b/>
            <w:bCs/>
            <w:lang w:eastAsia="en-US"/>
          </w:rPr>
          <w:t>Camden and Islington’s Integrated Advocacy Service (CIIAS) Referral Form</w:t>
        </w:r>
      </w:hyperlink>
      <w:r w:rsidRPr="00C61733">
        <w:rPr>
          <w:rFonts w:eastAsiaTheme="minorHAnsi"/>
          <w:lang w:eastAsia="en-US"/>
        </w:rPr>
        <w:t xml:space="preserve"> </w:t>
      </w:r>
      <w:r w:rsidR="00F62DBB">
        <w:t xml:space="preserve">which can also be found on the ASC Practice Guide. </w:t>
      </w:r>
    </w:p>
    <w:p w14:paraId="331E767C" w14:textId="77777777" w:rsidR="0081195B" w:rsidRPr="00017F78" w:rsidRDefault="0081195B" w:rsidP="007245AC">
      <w:pPr>
        <w:pStyle w:val="NoSpacing"/>
        <w:ind w:left="284"/>
      </w:pPr>
    </w:p>
    <w:p w14:paraId="32B44073" w14:textId="77777777" w:rsidR="003C46A7" w:rsidRDefault="006C0C3C" w:rsidP="007245AC">
      <w:pPr>
        <w:pStyle w:val="Heading1"/>
        <w:tabs>
          <w:tab w:val="left" w:pos="426"/>
        </w:tabs>
        <w:jc w:val="left"/>
        <w:rPr>
          <w:rFonts w:eastAsiaTheme="minorHAnsi"/>
        </w:rPr>
      </w:pPr>
      <w:bookmarkStart w:id="9" w:name="_Toc62550043"/>
      <w:r>
        <w:rPr>
          <w:rFonts w:eastAsiaTheme="minorHAnsi"/>
        </w:rPr>
        <w:t>Family Responsibilities</w:t>
      </w:r>
      <w:bookmarkEnd w:id="9"/>
    </w:p>
    <w:p w14:paraId="4819479B" w14:textId="77777777" w:rsidR="00C9605E" w:rsidRDefault="00C9605E" w:rsidP="007245AC">
      <w:pPr>
        <w:pStyle w:val="NoSpacing"/>
        <w:ind w:left="284"/>
        <w:rPr>
          <w:rFonts w:eastAsiaTheme="minorHAnsi"/>
          <w:b/>
          <w:lang w:eastAsia="en-US"/>
        </w:rPr>
      </w:pPr>
    </w:p>
    <w:p w14:paraId="2F210C71" w14:textId="11D26692" w:rsidR="00F9374B" w:rsidRDefault="004E4C8A" w:rsidP="007245AC">
      <w:pPr>
        <w:pStyle w:val="ListParagraph"/>
        <w:numPr>
          <w:ilvl w:val="1"/>
          <w:numId w:val="16"/>
        </w:numPr>
        <w:ind w:left="567" w:hanging="709"/>
        <w:rPr>
          <w:rFonts w:ascii="Arial" w:hAnsi="Arial" w:cs="Arial"/>
          <w:sz w:val="24"/>
          <w:szCs w:val="24"/>
        </w:rPr>
      </w:pPr>
      <w:r>
        <w:rPr>
          <w:rFonts w:ascii="Arial" w:hAnsi="Arial" w:cs="Arial"/>
          <w:sz w:val="24"/>
          <w:szCs w:val="24"/>
        </w:rPr>
        <w:t>If</w:t>
      </w:r>
      <w:r w:rsidR="003C46A7" w:rsidRPr="009D3911">
        <w:rPr>
          <w:rFonts w:ascii="Arial" w:hAnsi="Arial" w:cs="Arial"/>
          <w:sz w:val="24"/>
          <w:szCs w:val="24"/>
        </w:rPr>
        <w:t xml:space="preserve"> family members are actively involved in the care of the person they</w:t>
      </w:r>
      <w:r w:rsidR="007B6087">
        <w:rPr>
          <w:rFonts w:ascii="Arial" w:hAnsi="Arial" w:cs="Arial"/>
          <w:sz w:val="24"/>
          <w:szCs w:val="24"/>
        </w:rPr>
        <w:t xml:space="preserve"> should be encouraged to</w:t>
      </w:r>
      <w:r w:rsidR="003C46A7" w:rsidRPr="009D3911">
        <w:rPr>
          <w:rFonts w:ascii="Arial" w:hAnsi="Arial" w:cs="Arial"/>
          <w:sz w:val="24"/>
          <w:szCs w:val="24"/>
        </w:rPr>
        <w:t xml:space="preserve"> make an application to the Court of Protection. The decision maker can support the family through the </w:t>
      </w:r>
      <w:r w:rsidR="00794F1F" w:rsidRPr="009D3911">
        <w:rPr>
          <w:rFonts w:ascii="Arial" w:hAnsi="Arial" w:cs="Arial"/>
          <w:sz w:val="24"/>
          <w:szCs w:val="24"/>
        </w:rPr>
        <w:t xml:space="preserve">process </w:t>
      </w:r>
      <w:r w:rsidR="00794F1F" w:rsidRPr="00E71EFA">
        <w:rPr>
          <w:rFonts w:ascii="Arial" w:hAnsi="Arial" w:cs="Arial"/>
          <w:sz w:val="24"/>
          <w:szCs w:val="24"/>
        </w:rPr>
        <w:t xml:space="preserve">or </w:t>
      </w:r>
      <w:proofErr w:type="gramStart"/>
      <w:r w:rsidR="00794F1F" w:rsidRPr="00E71EFA">
        <w:rPr>
          <w:rFonts w:ascii="Arial" w:hAnsi="Arial" w:cs="Arial"/>
          <w:sz w:val="24"/>
          <w:szCs w:val="24"/>
        </w:rPr>
        <w:t>sign post</w:t>
      </w:r>
      <w:proofErr w:type="gramEnd"/>
      <w:r w:rsidR="00794F1F" w:rsidRPr="00E71EFA">
        <w:rPr>
          <w:rFonts w:ascii="Arial" w:hAnsi="Arial" w:cs="Arial"/>
          <w:sz w:val="24"/>
          <w:szCs w:val="24"/>
        </w:rPr>
        <w:t>.</w:t>
      </w:r>
    </w:p>
    <w:p w14:paraId="5C4F85DF" w14:textId="77777777" w:rsidR="00F9374B" w:rsidRDefault="003C46A7" w:rsidP="007245AC">
      <w:pPr>
        <w:pStyle w:val="ListParagraph"/>
        <w:numPr>
          <w:ilvl w:val="1"/>
          <w:numId w:val="16"/>
        </w:numPr>
        <w:ind w:left="567" w:hanging="709"/>
        <w:rPr>
          <w:rFonts w:ascii="Arial" w:hAnsi="Arial" w:cs="Arial"/>
          <w:sz w:val="24"/>
          <w:szCs w:val="24"/>
        </w:rPr>
      </w:pPr>
      <w:r w:rsidRPr="00F9374B">
        <w:rPr>
          <w:rFonts w:ascii="Arial" w:hAnsi="Arial" w:cs="Arial"/>
          <w:sz w:val="24"/>
          <w:szCs w:val="24"/>
        </w:rPr>
        <w:t>If family members confirm</w:t>
      </w:r>
      <w:r w:rsidR="006C0C3C" w:rsidRPr="00F9374B">
        <w:rPr>
          <w:rFonts w:ascii="Arial" w:hAnsi="Arial" w:cs="Arial"/>
          <w:sz w:val="24"/>
          <w:szCs w:val="24"/>
        </w:rPr>
        <w:t xml:space="preserve"> they are either unwilling or unable to make an application to the</w:t>
      </w:r>
      <w:r w:rsidRPr="00F9374B">
        <w:rPr>
          <w:rFonts w:ascii="Arial" w:hAnsi="Arial" w:cs="Arial"/>
          <w:sz w:val="24"/>
          <w:szCs w:val="24"/>
        </w:rPr>
        <w:t xml:space="preserve"> court of protection this must</w:t>
      </w:r>
      <w:r w:rsidR="006C0C3C" w:rsidRPr="00F9374B">
        <w:rPr>
          <w:rFonts w:ascii="Arial" w:hAnsi="Arial" w:cs="Arial"/>
          <w:sz w:val="24"/>
          <w:szCs w:val="24"/>
        </w:rPr>
        <w:t xml:space="preserve"> be clearly recorded</w:t>
      </w:r>
      <w:r w:rsidRPr="00F9374B">
        <w:rPr>
          <w:rFonts w:ascii="Arial" w:hAnsi="Arial" w:cs="Arial"/>
          <w:sz w:val="24"/>
          <w:szCs w:val="24"/>
        </w:rPr>
        <w:t xml:space="preserve">. The </w:t>
      </w:r>
      <w:r w:rsidR="00CD3D2A" w:rsidRPr="00F9374B">
        <w:rPr>
          <w:rFonts w:ascii="Arial" w:hAnsi="Arial" w:cs="Arial"/>
          <w:sz w:val="24"/>
          <w:szCs w:val="24"/>
        </w:rPr>
        <w:t xml:space="preserve">social worker will be required to complete the court of protection application. </w:t>
      </w:r>
    </w:p>
    <w:p w14:paraId="246160C7" w14:textId="7B2F2FF3" w:rsidR="00405535" w:rsidRPr="00F9374B" w:rsidRDefault="006C0C3C" w:rsidP="007245AC">
      <w:pPr>
        <w:pStyle w:val="ListParagraph"/>
        <w:numPr>
          <w:ilvl w:val="1"/>
          <w:numId w:val="16"/>
        </w:numPr>
        <w:ind w:left="567" w:hanging="709"/>
        <w:rPr>
          <w:rFonts w:ascii="Arial" w:hAnsi="Arial" w:cs="Arial"/>
          <w:sz w:val="24"/>
          <w:szCs w:val="24"/>
        </w:rPr>
      </w:pPr>
      <w:r w:rsidRPr="00F9374B">
        <w:rPr>
          <w:rFonts w:ascii="Arial" w:hAnsi="Arial" w:cs="Arial"/>
          <w:sz w:val="24"/>
          <w:szCs w:val="24"/>
        </w:rPr>
        <w:t xml:space="preserve">If a family agrees to make an application but fails to do so </w:t>
      </w:r>
      <w:r w:rsidR="00676DE0" w:rsidRPr="00F9374B">
        <w:rPr>
          <w:rFonts w:ascii="Arial" w:hAnsi="Arial" w:cs="Arial"/>
          <w:sz w:val="24"/>
          <w:szCs w:val="24"/>
        </w:rPr>
        <w:t xml:space="preserve">within a </w:t>
      </w:r>
      <w:proofErr w:type="gramStart"/>
      <w:r w:rsidR="00676DE0" w:rsidRPr="00F9374B">
        <w:rPr>
          <w:rFonts w:ascii="Arial" w:hAnsi="Arial" w:cs="Arial"/>
          <w:sz w:val="24"/>
          <w:szCs w:val="24"/>
        </w:rPr>
        <w:t>28 day</w:t>
      </w:r>
      <w:proofErr w:type="gramEnd"/>
      <w:r w:rsidRPr="00F9374B">
        <w:rPr>
          <w:rFonts w:ascii="Arial" w:hAnsi="Arial" w:cs="Arial"/>
          <w:sz w:val="24"/>
          <w:szCs w:val="24"/>
        </w:rPr>
        <w:t xml:space="preserve"> period and followi</w:t>
      </w:r>
      <w:r w:rsidR="003C46A7" w:rsidRPr="00F9374B">
        <w:rPr>
          <w:rFonts w:ascii="Arial" w:hAnsi="Arial" w:cs="Arial"/>
          <w:sz w:val="24"/>
          <w:szCs w:val="24"/>
        </w:rPr>
        <w:t>ng repeated requests</w:t>
      </w:r>
      <w:r w:rsidR="00676DE0" w:rsidRPr="00F9374B">
        <w:rPr>
          <w:rFonts w:ascii="Arial" w:hAnsi="Arial" w:cs="Arial"/>
          <w:sz w:val="24"/>
          <w:szCs w:val="24"/>
        </w:rPr>
        <w:t>,</w:t>
      </w:r>
      <w:r w:rsidR="003C46A7" w:rsidRPr="00F9374B">
        <w:rPr>
          <w:rFonts w:ascii="Arial" w:hAnsi="Arial" w:cs="Arial"/>
          <w:sz w:val="24"/>
          <w:szCs w:val="24"/>
        </w:rPr>
        <w:t xml:space="preserve"> this must be discussed with the Team M</w:t>
      </w:r>
      <w:r w:rsidRPr="00F9374B">
        <w:rPr>
          <w:rFonts w:ascii="Arial" w:hAnsi="Arial" w:cs="Arial"/>
          <w:sz w:val="24"/>
          <w:szCs w:val="24"/>
        </w:rPr>
        <w:t xml:space="preserve">anager as there may </w:t>
      </w:r>
      <w:r w:rsidR="00421A93" w:rsidRPr="00F9374B">
        <w:rPr>
          <w:rFonts w:ascii="Arial" w:hAnsi="Arial" w:cs="Arial"/>
          <w:sz w:val="24"/>
          <w:szCs w:val="24"/>
        </w:rPr>
        <w:t xml:space="preserve">also </w:t>
      </w:r>
      <w:r w:rsidRPr="00F9374B">
        <w:rPr>
          <w:rFonts w:ascii="Arial" w:hAnsi="Arial" w:cs="Arial"/>
          <w:sz w:val="24"/>
          <w:szCs w:val="24"/>
        </w:rPr>
        <w:t xml:space="preserve">be safeguarding considerations. </w:t>
      </w:r>
    </w:p>
    <w:p w14:paraId="46CA67CB" w14:textId="77777777" w:rsidR="000A0895" w:rsidRDefault="000A0895" w:rsidP="007245AC">
      <w:pPr>
        <w:pStyle w:val="NoSpacing"/>
        <w:rPr>
          <w:rFonts w:eastAsiaTheme="minorHAnsi"/>
          <w:b/>
          <w:lang w:eastAsia="en-US"/>
        </w:rPr>
      </w:pPr>
    </w:p>
    <w:p w14:paraId="5DFCA4BF" w14:textId="77777777" w:rsidR="006C0C3C" w:rsidRDefault="006C0C3C" w:rsidP="007245AC">
      <w:pPr>
        <w:pStyle w:val="Heading1"/>
        <w:jc w:val="left"/>
        <w:rPr>
          <w:rFonts w:eastAsiaTheme="minorHAnsi"/>
        </w:rPr>
      </w:pPr>
      <w:bookmarkStart w:id="10" w:name="_Toc62550044"/>
      <w:r>
        <w:rPr>
          <w:rFonts w:eastAsiaTheme="minorHAnsi"/>
        </w:rPr>
        <w:t>Housing Benefit</w:t>
      </w:r>
      <w:bookmarkEnd w:id="10"/>
    </w:p>
    <w:p w14:paraId="40491099" w14:textId="77777777" w:rsidR="006C0C3C" w:rsidRDefault="006C0C3C" w:rsidP="007245AC">
      <w:pPr>
        <w:pStyle w:val="NoSpacing"/>
        <w:ind w:left="284"/>
        <w:rPr>
          <w:rFonts w:eastAsiaTheme="minorHAnsi"/>
          <w:lang w:eastAsia="en-US"/>
        </w:rPr>
      </w:pPr>
    </w:p>
    <w:p w14:paraId="4E0E95EC" w14:textId="03863975" w:rsidR="006C0C3C" w:rsidRDefault="00CC6E71" w:rsidP="007245AC">
      <w:pPr>
        <w:pStyle w:val="NoSpacing"/>
        <w:numPr>
          <w:ilvl w:val="1"/>
          <w:numId w:val="16"/>
        </w:numPr>
        <w:ind w:left="567" w:hanging="709"/>
        <w:rPr>
          <w:rFonts w:eastAsiaTheme="minorHAnsi"/>
          <w:lang w:eastAsia="en-US"/>
        </w:rPr>
      </w:pPr>
      <w:r>
        <w:rPr>
          <w:rFonts w:eastAsiaTheme="minorHAnsi"/>
          <w:lang w:eastAsia="en-US"/>
        </w:rPr>
        <w:t>C</w:t>
      </w:r>
      <w:r w:rsidR="006C0C3C">
        <w:rPr>
          <w:rFonts w:eastAsiaTheme="minorHAnsi"/>
          <w:lang w:eastAsia="en-US"/>
        </w:rPr>
        <w:t>apacity has no bearing on</w:t>
      </w:r>
      <w:r w:rsidR="00794F1F">
        <w:rPr>
          <w:rFonts w:eastAsiaTheme="minorHAnsi"/>
          <w:lang w:eastAsia="en-US"/>
        </w:rPr>
        <w:t xml:space="preserve"> </w:t>
      </w:r>
      <w:r w:rsidR="006C0C3C">
        <w:rPr>
          <w:rFonts w:eastAsiaTheme="minorHAnsi"/>
          <w:lang w:eastAsia="en-US"/>
        </w:rPr>
        <w:t>entitlement to Housing Benefit.</w:t>
      </w:r>
      <w:r w:rsidR="00E71EFA">
        <w:rPr>
          <w:rFonts w:eastAsiaTheme="minorHAnsi"/>
          <w:lang w:eastAsia="en-US"/>
        </w:rPr>
        <w:t xml:space="preserve"> A l</w:t>
      </w:r>
      <w:r w:rsidR="006C0C3C">
        <w:rPr>
          <w:rFonts w:eastAsiaTheme="minorHAnsi"/>
          <w:lang w:eastAsia="en-US"/>
        </w:rPr>
        <w:t xml:space="preserve">ack of capacity </w:t>
      </w:r>
      <w:r w:rsidR="00CD3E8F" w:rsidRPr="00CD3E8F">
        <w:rPr>
          <w:rFonts w:eastAsiaTheme="minorHAnsi"/>
          <w:lang w:eastAsia="en-US"/>
        </w:rPr>
        <w:t>does not</w:t>
      </w:r>
      <w:r w:rsidR="006C0C3C" w:rsidRPr="00CD3E8F">
        <w:rPr>
          <w:rFonts w:eastAsiaTheme="minorHAnsi"/>
          <w:lang w:eastAsia="en-US"/>
        </w:rPr>
        <w:t xml:space="preserve"> mean </w:t>
      </w:r>
      <w:r w:rsidR="00CD3E8F">
        <w:rPr>
          <w:rFonts w:eastAsiaTheme="minorHAnsi"/>
          <w:lang w:eastAsia="en-US"/>
        </w:rPr>
        <w:t>the person is</w:t>
      </w:r>
      <w:r w:rsidR="006C0C3C" w:rsidRPr="00CD3E8F">
        <w:rPr>
          <w:rFonts w:eastAsiaTheme="minorHAnsi"/>
          <w:lang w:eastAsia="en-US"/>
        </w:rPr>
        <w:t xml:space="preserve"> not liable to pay rent, and so not entitled to benefit.</w:t>
      </w:r>
      <w:r w:rsidR="00CD3E8F">
        <w:rPr>
          <w:rFonts w:eastAsiaTheme="minorHAnsi"/>
          <w:lang w:eastAsia="en-US"/>
        </w:rPr>
        <w:t xml:space="preserve"> T</w:t>
      </w:r>
      <w:r w:rsidR="006C0C3C">
        <w:rPr>
          <w:rFonts w:eastAsiaTheme="minorHAnsi"/>
          <w:lang w:eastAsia="en-US"/>
        </w:rPr>
        <w:t xml:space="preserve">here is a legal liability to pay rent </w:t>
      </w:r>
      <w:r w:rsidR="00421A93">
        <w:rPr>
          <w:rFonts w:eastAsiaTheme="minorHAnsi"/>
          <w:lang w:eastAsia="en-US"/>
        </w:rPr>
        <w:t xml:space="preserve">until the property is returned to the landlord with vacant possession </w:t>
      </w:r>
      <w:r w:rsidR="006C0C3C">
        <w:rPr>
          <w:rFonts w:eastAsiaTheme="minorHAnsi"/>
          <w:lang w:eastAsia="en-US"/>
        </w:rPr>
        <w:t>and, therefore, entitlement to housing benefit.</w:t>
      </w:r>
    </w:p>
    <w:p w14:paraId="209A5E7F" w14:textId="77777777" w:rsidR="006C0C3C" w:rsidRDefault="00127A8E" w:rsidP="007245AC">
      <w:pPr>
        <w:pStyle w:val="NoSpacing"/>
        <w:ind w:left="567" w:hanging="709"/>
        <w:rPr>
          <w:rFonts w:eastAsiaTheme="minorHAnsi"/>
          <w:lang w:eastAsia="en-US"/>
        </w:rPr>
      </w:pPr>
      <w:r>
        <w:rPr>
          <w:rFonts w:eastAsiaTheme="minorHAnsi"/>
          <w:lang w:eastAsia="en-US"/>
        </w:rPr>
        <w:tab/>
      </w:r>
    </w:p>
    <w:p w14:paraId="5D27E6DB" w14:textId="7A04B292" w:rsidR="00CC6E71" w:rsidRDefault="006C0C3C" w:rsidP="007245AC">
      <w:pPr>
        <w:pStyle w:val="NoSpacing"/>
        <w:numPr>
          <w:ilvl w:val="1"/>
          <w:numId w:val="16"/>
        </w:numPr>
        <w:ind w:left="567" w:hanging="709"/>
        <w:rPr>
          <w:rFonts w:eastAsiaTheme="minorHAnsi"/>
          <w:lang w:eastAsia="en-US"/>
        </w:rPr>
      </w:pPr>
      <w:r w:rsidRPr="00E82384">
        <w:rPr>
          <w:rFonts w:eastAsiaTheme="minorHAnsi"/>
          <w:lang w:eastAsia="en-US"/>
        </w:rPr>
        <w:t xml:space="preserve">Housing Benefit claims </w:t>
      </w:r>
      <w:r w:rsidR="00CD3E8F">
        <w:rPr>
          <w:rFonts w:eastAsiaTheme="minorHAnsi"/>
          <w:lang w:eastAsia="en-US"/>
        </w:rPr>
        <w:t>must</w:t>
      </w:r>
      <w:r w:rsidRPr="00E82384">
        <w:rPr>
          <w:rFonts w:eastAsiaTheme="minorHAnsi"/>
          <w:lang w:eastAsia="en-US"/>
        </w:rPr>
        <w:t xml:space="preserve"> be made at the earliest possible opportunity. </w:t>
      </w:r>
      <w:r w:rsidR="00CC6E71">
        <w:rPr>
          <w:rFonts w:eastAsiaTheme="minorHAnsi"/>
          <w:lang w:eastAsia="en-US"/>
        </w:rPr>
        <w:t xml:space="preserve">If a person is </w:t>
      </w:r>
      <w:r w:rsidR="00CC6E71" w:rsidRPr="00E82384">
        <w:rPr>
          <w:rFonts w:eastAsiaTheme="minorHAnsi"/>
          <w:lang w:eastAsia="en-US"/>
        </w:rPr>
        <w:t>temporarily absent from their home</w:t>
      </w:r>
      <w:r w:rsidR="00CC6E71">
        <w:rPr>
          <w:rFonts w:eastAsiaTheme="minorHAnsi"/>
          <w:lang w:eastAsia="en-US"/>
        </w:rPr>
        <w:t>,</w:t>
      </w:r>
      <w:r w:rsidR="00CC6E71" w:rsidRPr="00E82384">
        <w:rPr>
          <w:rFonts w:eastAsiaTheme="minorHAnsi"/>
          <w:lang w:eastAsia="en-US"/>
        </w:rPr>
        <w:t xml:space="preserve"> housing benefit</w:t>
      </w:r>
      <w:r w:rsidR="00CC6E71">
        <w:rPr>
          <w:rFonts w:eastAsiaTheme="minorHAnsi"/>
          <w:lang w:eastAsia="en-US"/>
        </w:rPr>
        <w:t xml:space="preserve"> can continue</w:t>
      </w:r>
      <w:r w:rsidR="00CC6E71" w:rsidRPr="00E82384">
        <w:rPr>
          <w:rFonts w:eastAsiaTheme="minorHAnsi"/>
          <w:lang w:eastAsia="en-US"/>
        </w:rPr>
        <w:t xml:space="preserve"> to be claimed if </w:t>
      </w:r>
      <w:r w:rsidR="00CC6E71">
        <w:rPr>
          <w:rFonts w:eastAsiaTheme="minorHAnsi"/>
          <w:lang w:eastAsia="en-US"/>
        </w:rPr>
        <w:t xml:space="preserve">the person </w:t>
      </w:r>
      <w:r w:rsidR="00CC6E71" w:rsidRPr="00E82384">
        <w:rPr>
          <w:rFonts w:eastAsiaTheme="minorHAnsi"/>
          <w:lang w:eastAsia="en-US"/>
        </w:rPr>
        <w:t xml:space="preserve">intends to return.  This can be paid up to 13 </w:t>
      </w:r>
      <w:r w:rsidR="000A6886">
        <w:rPr>
          <w:rFonts w:eastAsiaTheme="minorHAnsi"/>
          <w:lang w:eastAsia="en-US"/>
        </w:rPr>
        <w:t xml:space="preserve">or 52 weeks </w:t>
      </w:r>
      <w:r w:rsidR="000A6886">
        <w:rPr>
          <w:rFonts w:eastAsiaTheme="minorHAnsi"/>
          <w:lang w:eastAsia="en-US"/>
        </w:rPr>
        <w:lastRenderedPageBreak/>
        <w:t>depending on circumstances such as domestic violence, long period in hospital or residential home</w:t>
      </w:r>
      <w:r w:rsidR="000A6886">
        <w:rPr>
          <w:rStyle w:val="FootnoteReference"/>
          <w:rFonts w:eastAsiaTheme="minorHAnsi"/>
          <w:lang w:eastAsia="en-US"/>
        </w:rPr>
        <w:footnoteReference w:id="2"/>
      </w:r>
      <w:r w:rsidR="000A6886">
        <w:rPr>
          <w:rFonts w:eastAsiaTheme="minorHAnsi"/>
          <w:lang w:eastAsia="en-US"/>
        </w:rPr>
        <w:t xml:space="preserve">. </w:t>
      </w:r>
    </w:p>
    <w:p w14:paraId="5ED04CA7" w14:textId="77777777" w:rsidR="00CC6E71" w:rsidRPr="00EC44F7" w:rsidRDefault="00CC6E71" w:rsidP="007245AC">
      <w:pPr>
        <w:pStyle w:val="NoSpacing"/>
        <w:ind w:left="567" w:hanging="709"/>
        <w:rPr>
          <w:rFonts w:eastAsiaTheme="minorHAnsi"/>
          <w:i/>
          <w:lang w:eastAsia="en-US"/>
        </w:rPr>
      </w:pPr>
    </w:p>
    <w:p w14:paraId="78198E7D" w14:textId="77777777" w:rsidR="005A0BB1" w:rsidRPr="00EC44F7" w:rsidRDefault="005A0BB1" w:rsidP="007245AC">
      <w:pPr>
        <w:pStyle w:val="NoSpacing"/>
        <w:ind w:left="567" w:hanging="709"/>
        <w:rPr>
          <w:rFonts w:eastAsiaTheme="minorHAnsi"/>
          <w:b/>
          <w:i/>
          <w:lang w:eastAsia="en-US"/>
        </w:rPr>
      </w:pPr>
      <w:r w:rsidRPr="00EC44F7">
        <w:rPr>
          <w:rFonts w:eastAsiaTheme="minorHAnsi"/>
          <w:b/>
          <w:i/>
          <w:lang w:eastAsia="en-US"/>
        </w:rPr>
        <w:t>New tenancy</w:t>
      </w:r>
    </w:p>
    <w:p w14:paraId="077C39DD" w14:textId="4FF8E8BA" w:rsidR="006C0C3C" w:rsidRDefault="006C0C3C" w:rsidP="007245AC">
      <w:pPr>
        <w:pStyle w:val="NoSpacing"/>
        <w:numPr>
          <w:ilvl w:val="1"/>
          <w:numId w:val="16"/>
        </w:numPr>
        <w:ind w:left="567" w:hanging="709"/>
        <w:rPr>
          <w:rFonts w:eastAsiaTheme="minorHAnsi"/>
          <w:lang w:eastAsia="en-US"/>
        </w:rPr>
      </w:pPr>
      <w:r w:rsidRPr="00E82384">
        <w:rPr>
          <w:rFonts w:eastAsiaTheme="minorHAnsi"/>
          <w:lang w:eastAsia="en-US"/>
        </w:rPr>
        <w:t xml:space="preserve">If </w:t>
      </w:r>
      <w:r w:rsidR="00794F1F">
        <w:rPr>
          <w:rFonts w:eastAsiaTheme="minorHAnsi"/>
          <w:lang w:eastAsia="en-US"/>
        </w:rPr>
        <w:t>person</w:t>
      </w:r>
      <w:r w:rsidRPr="00E82384">
        <w:rPr>
          <w:rFonts w:eastAsiaTheme="minorHAnsi"/>
          <w:lang w:eastAsia="en-US"/>
        </w:rPr>
        <w:t xml:space="preserve"> has been offered a new tenancy but needs to give notice on an existing </w:t>
      </w:r>
      <w:proofErr w:type="gramStart"/>
      <w:r w:rsidRPr="00E82384">
        <w:rPr>
          <w:rFonts w:eastAsiaTheme="minorHAnsi"/>
          <w:lang w:eastAsia="en-US"/>
        </w:rPr>
        <w:t>tenancy</w:t>
      </w:r>
      <w:proofErr w:type="gramEnd"/>
      <w:r w:rsidRPr="00E82384">
        <w:rPr>
          <w:rFonts w:eastAsiaTheme="minorHAnsi"/>
          <w:lang w:eastAsia="en-US"/>
        </w:rPr>
        <w:t xml:space="preserve"> they may be able to receive two homes allowance. However, the person must have</w:t>
      </w:r>
      <w:r w:rsidR="00F9374B">
        <w:rPr>
          <w:rFonts w:eastAsiaTheme="minorHAnsi"/>
          <w:lang w:eastAsia="en-US"/>
        </w:rPr>
        <w:t xml:space="preserve"> moved into their new tenancy. </w:t>
      </w:r>
      <w:r w:rsidRPr="00E82384">
        <w:rPr>
          <w:rFonts w:eastAsiaTheme="minorHAnsi"/>
          <w:lang w:eastAsia="en-US"/>
        </w:rPr>
        <w:t xml:space="preserve">This allowance allows the person to claim for two homes and housing benefit will cover the old and new home for a period of 4 weeks. </w:t>
      </w:r>
    </w:p>
    <w:p w14:paraId="7F593D5A" w14:textId="2AB830DE" w:rsidR="00527F10" w:rsidRDefault="00527F10" w:rsidP="007245AC">
      <w:pPr>
        <w:pStyle w:val="NoSpacing"/>
        <w:ind w:left="567"/>
        <w:rPr>
          <w:rFonts w:eastAsiaTheme="minorHAnsi"/>
          <w:lang w:eastAsia="en-US"/>
        </w:rPr>
      </w:pPr>
    </w:p>
    <w:p w14:paraId="66A92A8B" w14:textId="03A8D753" w:rsidR="006C0C3C" w:rsidRPr="00527F10" w:rsidRDefault="00127A8E" w:rsidP="007245AC">
      <w:pPr>
        <w:pStyle w:val="NoSpacing"/>
        <w:rPr>
          <w:rFonts w:eastAsiaTheme="minorHAnsi"/>
          <w:lang w:eastAsia="en-US"/>
        </w:rPr>
      </w:pPr>
      <w:r w:rsidRPr="00EC44F7">
        <w:rPr>
          <w:rFonts w:eastAsiaTheme="minorHAnsi"/>
          <w:b/>
          <w:i/>
          <w:lang w:eastAsia="en-US"/>
        </w:rPr>
        <w:t xml:space="preserve">Residential or nursing home </w:t>
      </w:r>
    </w:p>
    <w:p w14:paraId="31B7FDFC" w14:textId="77777777" w:rsidR="00F9374B" w:rsidRDefault="00794F1F" w:rsidP="007245AC">
      <w:pPr>
        <w:pStyle w:val="NoSpacing"/>
        <w:numPr>
          <w:ilvl w:val="1"/>
          <w:numId w:val="16"/>
        </w:numPr>
        <w:ind w:left="567" w:hanging="709"/>
        <w:rPr>
          <w:rFonts w:eastAsiaTheme="minorHAnsi"/>
          <w:lang w:eastAsia="en-US"/>
        </w:rPr>
      </w:pPr>
      <w:r>
        <w:rPr>
          <w:rFonts w:eastAsiaTheme="minorHAnsi"/>
          <w:lang w:eastAsia="en-US"/>
        </w:rPr>
        <w:t>If a person</w:t>
      </w:r>
      <w:r w:rsidR="006C0C3C" w:rsidRPr="00E82384">
        <w:rPr>
          <w:rFonts w:eastAsiaTheme="minorHAnsi"/>
          <w:lang w:eastAsia="en-US"/>
        </w:rPr>
        <w:t xml:space="preserve"> is moving to a residential or nursing home</w:t>
      </w:r>
      <w:r>
        <w:rPr>
          <w:rFonts w:eastAsiaTheme="minorHAnsi"/>
          <w:lang w:eastAsia="en-US"/>
        </w:rPr>
        <w:t>,</w:t>
      </w:r>
      <w:r w:rsidR="006C0C3C" w:rsidRPr="00E82384">
        <w:rPr>
          <w:rFonts w:eastAsiaTheme="minorHAnsi"/>
          <w:lang w:eastAsia="en-US"/>
        </w:rPr>
        <w:t xml:space="preserve"> housing benefit on the person’s</w:t>
      </w:r>
      <w:r w:rsidR="006C0C3C">
        <w:rPr>
          <w:rFonts w:eastAsiaTheme="minorHAnsi"/>
          <w:lang w:eastAsia="en-US"/>
        </w:rPr>
        <w:t xml:space="preserve"> home can</w:t>
      </w:r>
      <w:r w:rsidR="006C0C3C" w:rsidRPr="00E82384">
        <w:rPr>
          <w:rFonts w:eastAsiaTheme="minorHAnsi"/>
          <w:lang w:eastAsia="en-US"/>
        </w:rPr>
        <w:t xml:space="preserve"> be claimed for up to a period of 13 weeks involving a mix of Temporary Absence from Home elements and ‘Unavoidable </w:t>
      </w:r>
      <w:r w:rsidR="00F9374B">
        <w:rPr>
          <w:rFonts w:eastAsiaTheme="minorHAnsi"/>
          <w:lang w:eastAsia="en-US"/>
        </w:rPr>
        <w:t xml:space="preserve">overlapping tenancy’, element. </w:t>
      </w:r>
    </w:p>
    <w:p w14:paraId="761B4A56" w14:textId="77777777" w:rsidR="00F9374B" w:rsidRDefault="006C0C3C" w:rsidP="007245AC">
      <w:pPr>
        <w:pStyle w:val="NoSpacing"/>
        <w:numPr>
          <w:ilvl w:val="1"/>
          <w:numId w:val="16"/>
        </w:numPr>
        <w:ind w:left="567" w:hanging="709"/>
        <w:rPr>
          <w:rFonts w:eastAsiaTheme="minorHAnsi"/>
          <w:lang w:eastAsia="en-US"/>
        </w:rPr>
      </w:pPr>
      <w:r w:rsidRPr="00E82384">
        <w:rPr>
          <w:rFonts w:eastAsiaTheme="minorHAnsi"/>
          <w:lang w:eastAsia="en-US"/>
        </w:rPr>
        <w:t xml:space="preserve">For instance </w:t>
      </w:r>
      <w:r w:rsidR="00E71EFA">
        <w:rPr>
          <w:rFonts w:eastAsiaTheme="minorHAnsi"/>
          <w:lang w:eastAsia="en-US"/>
        </w:rPr>
        <w:t xml:space="preserve">a </w:t>
      </w:r>
      <w:r w:rsidR="00794F1F">
        <w:rPr>
          <w:rFonts w:eastAsiaTheme="minorHAnsi"/>
          <w:lang w:eastAsia="en-US"/>
        </w:rPr>
        <w:t>person</w:t>
      </w:r>
      <w:r w:rsidRPr="00E82384">
        <w:rPr>
          <w:rFonts w:eastAsiaTheme="minorHAnsi"/>
          <w:lang w:eastAsia="en-US"/>
        </w:rPr>
        <w:t xml:space="preserve"> could receive 6 weeks housing benefit under temporary absence and 4 weeks ‘ overlapping’  or  9 weeks ‘temporary absence’ and ‘4 weeks overlapping’. </w:t>
      </w:r>
    </w:p>
    <w:p w14:paraId="02D1FF2D" w14:textId="46EC663F" w:rsidR="004E4C8A" w:rsidRDefault="006C0C3C" w:rsidP="007245AC">
      <w:pPr>
        <w:pStyle w:val="NoSpacing"/>
        <w:numPr>
          <w:ilvl w:val="1"/>
          <w:numId w:val="16"/>
        </w:numPr>
        <w:ind w:left="567" w:hanging="709"/>
        <w:rPr>
          <w:rFonts w:eastAsiaTheme="minorHAnsi"/>
          <w:lang w:eastAsia="en-US"/>
        </w:rPr>
      </w:pPr>
      <w:r w:rsidRPr="00E82384">
        <w:rPr>
          <w:rFonts w:eastAsiaTheme="minorHAnsi"/>
          <w:lang w:eastAsia="en-US"/>
        </w:rPr>
        <w:t xml:space="preserve">It is important that you discuss the individual circumstances of the case with </w:t>
      </w:r>
      <w:r w:rsidR="0069476B">
        <w:rPr>
          <w:rFonts w:eastAsiaTheme="minorHAnsi"/>
          <w:lang w:eastAsia="en-US"/>
        </w:rPr>
        <w:t>H</w:t>
      </w:r>
      <w:r w:rsidRPr="00E82384">
        <w:rPr>
          <w:rFonts w:eastAsiaTheme="minorHAnsi"/>
          <w:lang w:eastAsia="en-US"/>
        </w:rPr>
        <w:t xml:space="preserve">ousing </w:t>
      </w:r>
      <w:r w:rsidR="0069476B">
        <w:rPr>
          <w:rFonts w:eastAsiaTheme="minorHAnsi"/>
          <w:lang w:eastAsia="en-US"/>
        </w:rPr>
        <w:t>B</w:t>
      </w:r>
      <w:r w:rsidRPr="00E82384">
        <w:rPr>
          <w:rFonts w:eastAsiaTheme="minorHAnsi"/>
          <w:lang w:eastAsia="en-US"/>
        </w:rPr>
        <w:t>enefit as soon as possi</w:t>
      </w:r>
      <w:r w:rsidR="00794F1F">
        <w:rPr>
          <w:rFonts w:eastAsiaTheme="minorHAnsi"/>
          <w:lang w:eastAsia="en-US"/>
        </w:rPr>
        <w:t>ble to ensure that the person</w:t>
      </w:r>
      <w:r w:rsidRPr="00E82384">
        <w:rPr>
          <w:rFonts w:eastAsiaTheme="minorHAnsi"/>
          <w:lang w:eastAsia="en-US"/>
        </w:rPr>
        <w:t xml:space="preserve"> receive</w:t>
      </w:r>
      <w:r w:rsidR="00794F1F">
        <w:rPr>
          <w:rFonts w:eastAsiaTheme="minorHAnsi"/>
          <w:lang w:eastAsia="en-US"/>
        </w:rPr>
        <w:t>s</w:t>
      </w:r>
      <w:r w:rsidRPr="00E82384">
        <w:rPr>
          <w:rFonts w:eastAsiaTheme="minorHAnsi"/>
          <w:lang w:eastAsia="en-US"/>
        </w:rPr>
        <w:t xml:space="preserve"> the maximum housing benefit entitlement.</w:t>
      </w:r>
    </w:p>
    <w:p w14:paraId="4D370B4F" w14:textId="77777777" w:rsidR="006C0C3C" w:rsidRDefault="006C0C3C" w:rsidP="007245AC">
      <w:pPr>
        <w:pStyle w:val="NoSpacing"/>
        <w:ind w:left="567" w:hanging="709"/>
        <w:rPr>
          <w:rFonts w:eastAsiaTheme="minorHAnsi"/>
          <w:lang w:eastAsia="en-US"/>
        </w:rPr>
      </w:pPr>
    </w:p>
    <w:p w14:paraId="53B9A4C0" w14:textId="77777777" w:rsidR="00C9605E" w:rsidRDefault="004E4C8A" w:rsidP="007245AC">
      <w:pPr>
        <w:pStyle w:val="NoSpacing"/>
        <w:ind w:left="567" w:hanging="709"/>
        <w:rPr>
          <w:rFonts w:eastAsiaTheme="minorHAnsi"/>
          <w:b/>
          <w:i/>
          <w:lang w:eastAsia="en-US"/>
        </w:rPr>
      </w:pPr>
      <w:r w:rsidRPr="00EC44F7">
        <w:rPr>
          <w:rFonts w:eastAsiaTheme="minorHAnsi"/>
          <w:b/>
          <w:i/>
          <w:lang w:eastAsia="en-US"/>
        </w:rPr>
        <w:t xml:space="preserve">Council tax exemption </w:t>
      </w:r>
    </w:p>
    <w:p w14:paraId="1943C007" w14:textId="77777777" w:rsidR="00F9374B" w:rsidRDefault="006C0C3C" w:rsidP="007245AC">
      <w:pPr>
        <w:pStyle w:val="NoSpacing"/>
        <w:numPr>
          <w:ilvl w:val="1"/>
          <w:numId w:val="16"/>
        </w:numPr>
        <w:ind w:left="567" w:hanging="709"/>
        <w:rPr>
          <w:rFonts w:eastAsiaTheme="minorHAnsi"/>
          <w:lang w:eastAsia="en-US"/>
        </w:rPr>
      </w:pPr>
      <w:r w:rsidRPr="00E82384">
        <w:rPr>
          <w:rFonts w:eastAsiaTheme="minorHAnsi"/>
          <w:lang w:eastAsia="en-US"/>
        </w:rPr>
        <w:t>The</w:t>
      </w:r>
      <w:r w:rsidR="00E577B2">
        <w:rPr>
          <w:rFonts w:eastAsiaTheme="minorHAnsi"/>
          <w:lang w:eastAsia="en-US"/>
        </w:rPr>
        <w:t xml:space="preserve">re is also the possibility the </w:t>
      </w:r>
      <w:r w:rsidR="00794F1F">
        <w:rPr>
          <w:rFonts w:eastAsiaTheme="minorHAnsi"/>
          <w:lang w:eastAsia="en-US"/>
        </w:rPr>
        <w:t>person</w:t>
      </w:r>
      <w:r w:rsidRPr="00E82384">
        <w:rPr>
          <w:rFonts w:eastAsiaTheme="minorHAnsi"/>
          <w:lang w:eastAsia="en-US"/>
        </w:rPr>
        <w:t xml:space="preserve"> could r</w:t>
      </w:r>
      <w:r w:rsidR="00E71EFA">
        <w:rPr>
          <w:rFonts w:eastAsiaTheme="minorHAnsi"/>
          <w:lang w:eastAsia="en-US"/>
        </w:rPr>
        <w:t xml:space="preserve">eceive a discount or be exempt </w:t>
      </w:r>
      <w:r w:rsidRPr="00E82384">
        <w:rPr>
          <w:rFonts w:eastAsiaTheme="minorHAnsi"/>
          <w:lang w:eastAsia="en-US"/>
        </w:rPr>
        <w:t>f</w:t>
      </w:r>
      <w:r w:rsidR="00E71EFA">
        <w:rPr>
          <w:rFonts w:eastAsiaTheme="minorHAnsi"/>
          <w:lang w:eastAsia="en-US"/>
        </w:rPr>
        <w:t>rom</w:t>
      </w:r>
      <w:r w:rsidRPr="00E82384">
        <w:rPr>
          <w:rFonts w:eastAsiaTheme="minorHAnsi"/>
          <w:lang w:eastAsia="en-US"/>
        </w:rPr>
        <w:t xml:space="preserve"> council tax charges, particularly if </w:t>
      </w:r>
      <w:r w:rsidR="00794F1F">
        <w:rPr>
          <w:rFonts w:eastAsiaTheme="minorHAnsi"/>
          <w:lang w:eastAsia="en-US"/>
        </w:rPr>
        <w:t>person</w:t>
      </w:r>
      <w:r w:rsidRPr="00E82384">
        <w:rPr>
          <w:rFonts w:eastAsiaTheme="minorHAnsi"/>
          <w:lang w:eastAsia="en-US"/>
        </w:rPr>
        <w:t xml:space="preserve"> meets the severely impaired criteria. </w:t>
      </w:r>
    </w:p>
    <w:p w14:paraId="13F23C6F" w14:textId="47F19090" w:rsidR="00FB29C0" w:rsidRPr="00C9605E" w:rsidRDefault="006C0C3C" w:rsidP="007245AC">
      <w:pPr>
        <w:pStyle w:val="NoSpacing"/>
        <w:numPr>
          <w:ilvl w:val="1"/>
          <w:numId w:val="16"/>
        </w:numPr>
        <w:ind w:left="567" w:hanging="709"/>
        <w:rPr>
          <w:rFonts w:eastAsiaTheme="minorHAnsi"/>
          <w:lang w:eastAsia="en-US"/>
        </w:rPr>
      </w:pPr>
      <w:r w:rsidRPr="00E82384">
        <w:rPr>
          <w:rFonts w:eastAsiaTheme="minorHAnsi"/>
          <w:lang w:eastAsia="en-US"/>
        </w:rPr>
        <w:t xml:space="preserve">You </w:t>
      </w:r>
      <w:r w:rsidR="00CD3E8F">
        <w:rPr>
          <w:rFonts w:eastAsiaTheme="minorHAnsi"/>
          <w:lang w:eastAsia="en-US"/>
        </w:rPr>
        <w:t>must</w:t>
      </w:r>
      <w:r w:rsidRPr="00E82384">
        <w:rPr>
          <w:rFonts w:eastAsiaTheme="minorHAnsi"/>
          <w:lang w:eastAsia="en-US"/>
        </w:rPr>
        <w:t xml:space="preserve"> discuss the circumstances with the </w:t>
      </w:r>
      <w:r w:rsidR="00A112EC">
        <w:rPr>
          <w:rFonts w:eastAsiaTheme="minorHAnsi"/>
          <w:lang w:eastAsia="en-US"/>
        </w:rPr>
        <w:t xml:space="preserve">Council Tax </w:t>
      </w:r>
      <w:proofErr w:type="gramStart"/>
      <w:r w:rsidR="00A112EC">
        <w:rPr>
          <w:rFonts w:eastAsiaTheme="minorHAnsi"/>
          <w:lang w:eastAsia="en-US"/>
        </w:rPr>
        <w:t>Team</w:t>
      </w:r>
      <w:proofErr w:type="gramEnd"/>
      <w:r w:rsidR="00A112EC">
        <w:rPr>
          <w:rFonts w:eastAsiaTheme="minorHAnsi"/>
          <w:lang w:eastAsia="en-US"/>
        </w:rPr>
        <w:t xml:space="preserve"> </w:t>
      </w:r>
      <w:r w:rsidR="0043613E">
        <w:rPr>
          <w:rFonts w:eastAsiaTheme="minorHAnsi"/>
          <w:lang w:eastAsia="en-US"/>
        </w:rPr>
        <w:t>and they will be able to advis</w:t>
      </w:r>
      <w:r w:rsidRPr="00E82384">
        <w:rPr>
          <w:rFonts w:eastAsiaTheme="minorHAnsi"/>
          <w:lang w:eastAsia="en-US"/>
        </w:rPr>
        <w:t xml:space="preserve">e on specific cases. </w:t>
      </w:r>
    </w:p>
    <w:p w14:paraId="4F052A44" w14:textId="77777777" w:rsidR="00267FDD" w:rsidRPr="00017F78" w:rsidRDefault="00267FDD" w:rsidP="007245AC">
      <w:pPr>
        <w:rPr>
          <w:rFonts w:ascii="Arial" w:hAnsi="Arial" w:cs="Arial"/>
          <w:sz w:val="24"/>
          <w:szCs w:val="24"/>
        </w:rPr>
      </w:pPr>
    </w:p>
    <w:p w14:paraId="14335889" w14:textId="4D771895" w:rsidR="0081195B" w:rsidRDefault="00F36513" w:rsidP="007245AC">
      <w:pPr>
        <w:pStyle w:val="Heading1"/>
        <w:jc w:val="left"/>
      </w:pPr>
      <w:bookmarkStart w:id="11" w:name="_Toc62550045"/>
      <w:r>
        <w:t>Process w</w:t>
      </w:r>
      <w:r w:rsidR="00CD3D2A">
        <w:t>hen someone</w:t>
      </w:r>
      <w:r w:rsidR="00DC2673">
        <w:t xml:space="preserve"> lacks capacity</w:t>
      </w:r>
      <w:bookmarkEnd w:id="11"/>
    </w:p>
    <w:p w14:paraId="10D82D7B" w14:textId="77777777" w:rsidR="00C9605E" w:rsidRPr="009D3911" w:rsidRDefault="00C9605E" w:rsidP="007245AC">
      <w:pPr>
        <w:pStyle w:val="NoSpacing"/>
        <w:ind w:left="567" w:hanging="709"/>
        <w:rPr>
          <w:b/>
        </w:rPr>
      </w:pPr>
    </w:p>
    <w:p w14:paraId="50557384" w14:textId="63259A23" w:rsidR="005D4990" w:rsidRPr="00F9374B" w:rsidRDefault="002417F7" w:rsidP="007245AC">
      <w:pPr>
        <w:pStyle w:val="ListParagraph"/>
        <w:numPr>
          <w:ilvl w:val="1"/>
          <w:numId w:val="16"/>
        </w:numPr>
        <w:ind w:left="567" w:hanging="709"/>
        <w:rPr>
          <w:rFonts w:ascii="Arial" w:hAnsi="Arial" w:cs="Arial"/>
          <w:sz w:val="24"/>
          <w:szCs w:val="24"/>
        </w:rPr>
      </w:pPr>
      <w:r w:rsidRPr="00F9374B">
        <w:rPr>
          <w:rFonts w:ascii="Arial" w:hAnsi="Arial" w:cs="Arial"/>
          <w:sz w:val="24"/>
          <w:szCs w:val="24"/>
        </w:rPr>
        <w:t>The f</w:t>
      </w:r>
      <w:r w:rsidR="00164C70" w:rsidRPr="00F9374B">
        <w:rPr>
          <w:rFonts w:ascii="Arial" w:hAnsi="Arial" w:cs="Arial"/>
          <w:sz w:val="24"/>
          <w:szCs w:val="24"/>
        </w:rPr>
        <w:t>ollowing sets out the process</w:t>
      </w:r>
      <w:r w:rsidR="00FB29C0" w:rsidRPr="00F9374B">
        <w:rPr>
          <w:rFonts w:ascii="Arial" w:hAnsi="Arial" w:cs="Arial"/>
          <w:sz w:val="24"/>
          <w:szCs w:val="24"/>
        </w:rPr>
        <w:t xml:space="preserve"> that must be co</w:t>
      </w:r>
      <w:r w:rsidR="005D4990" w:rsidRPr="00F9374B">
        <w:rPr>
          <w:rFonts w:ascii="Arial" w:hAnsi="Arial" w:cs="Arial"/>
          <w:sz w:val="24"/>
          <w:szCs w:val="24"/>
        </w:rPr>
        <w:t xml:space="preserve">mpleted in this specific </w:t>
      </w:r>
      <w:proofErr w:type="gramStart"/>
      <w:r w:rsidR="005D4990" w:rsidRPr="00F9374B">
        <w:rPr>
          <w:rFonts w:ascii="Arial" w:hAnsi="Arial" w:cs="Arial"/>
          <w:sz w:val="24"/>
          <w:szCs w:val="24"/>
        </w:rPr>
        <w:t>order;</w:t>
      </w:r>
      <w:proofErr w:type="gramEnd"/>
    </w:p>
    <w:p w14:paraId="793D72C1" w14:textId="77777777" w:rsidR="005D4990" w:rsidRPr="00C9605E" w:rsidRDefault="00FB29C0" w:rsidP="007245AC">
      <w:pPr>
        <w:pStyle w:val="ListParagraph"/>
        <w:numPr>
          <w:ilvl w:val="0"/>
          <w:numId w:val="19"/>
        </w:numPr>
        <w:ind w:left="993"/>
        <w:rPr>
          <w:rFonts w:ascii="Arial" w:hAnsi="Arial" w:cs="Arial"/>
          <w:sz w:val="24"/>
          <w:szCs w:val="24"/>
        </w:rPr>
      </w:pPr>
      <w:r w:rsidRPr="005D4990">
        <w:rPr>
          <w:rFonts w:ascii="Arial" w:hAnsi="Arial" w:cs="Arial"/>
          <w:sz w:val="24"/>
          <w:szCs w:val="24"/>
        </w:rPr>
        <w:t>The completion and record of a m</w:t>
      </w:r>
      <w:r w:rsidR="00164C70" w:rsidRPr="005D4990">
        <w:rPr>
          <w:rFonts w:ascii="Arial" w:hAnsi="Arial" w:cs="Arial"/>
          <w:sz w:val="24"/>
          <w:szCs w:val="24"/>
        </w:rPr>
        <w:t>ental capacity assessment that</w:t>
      </w:r>
      <w:r w:rsidR="00194F4C" w:rsidRPr="005D4990">
        <w:rPr>
          <w:rFonts w:ascii="Arial" w:hAnsi="Arial" w:cs="Arial"/>
          <w:sz w:val="24"/>
          <w:szCs w:val="24"/>
        </w:rPr>
        <w:t xml:space="preserve"> demonstrates c</w:t>
      </w:r>
      <w:r w:rsidRPr="005D4990">
        <w:rPr>
          <w:rFonts w:ascii="Arial" w:hAnsi="Arial" w:cs="Arial"/>
          <w:sz w:val="24"/>
          <w:szCs w:val="24"/>
        </w:rPr>
        <w:t xml:space="preserve">learly the person lacks capacity to </w:t>
      </w:r>
      <w:proofErr w:type="gramStart"/>
      <w:r w:rsidRPr="005D4990">
        <w:rPr>
          <w:rFonts w:ascii="Arial" w:hAnsi="Arial" w:cs="Arial"/>
          <w:sz w:val="24"/>
          <w:szCs w:val="24"/>
        </w:rPr>
        <w:t>make a decision</w:t>
      </w:r>
      <w:proofErr w:type="gramEnd"/>
      <w:r w:rsidRPr="005D4990">
        <w:rPr>
          <w:rFonts w:ascii="Arial" w:hAnsi="Arial" w:cs="Arial"/>
          <w:sz w:val="24"/>
          <w:szCs w:val="24"/>
        </w:rPr>
        <w:t xml:space="preserve"> about their </w:t>
      </w:r>
      <w:r w:rsidR="00164C70" w:rsidRPr="005D4990">
        <w:rPr>
          <w:rFonts w:ascii="Arial" w:hAnsi="Arial" w:cs="Arial"/>
          <w:sz w:val="24"/>
          <w:szCs w:val="24"/>
        </w:rPr>
        <w:t>tenancy</w:t>
      </w:r>
    </w:p>
    <w:p w14:paraId="45685438" w14:textId="77777777" w:rsidR="00C9605E" w:rsidRPr="00C9605E" w:rsidRDefault="009D7414" w:rsidP="007245AC">
      <w:pPr>
        <w:pStyle w:val="ListParagraph"/>
        <w:numPr>
          <w:ilvl w:val="1"/>
          <w:numId w:val="14"/>
        </w:numPr>
        <w:ind w:left="993"/>
        <w:rPr>
          <w:rFonts w:ascii="Arial" w:hAnsi="Arial" w:cs="Arial"/>
          <w:sz w:val="24"/>
          <w:szCs w:val="24"/>
        </w:rPr>
      </w:pPr>
      <w:r w:rsidRPr="00194F4C">
        <w:rPr>
          <w:rFonts w:ascii="Arial" w:hAnsi="Arial" w:cs="Arial"/>
          <w:sz w:val="24"/>
          <w:szCs w:val="24"/>
        </w:rPr>
        <w:t>B</w:t>
      </w:r>
      <w:r w:rsidR="006849CF">
        <w:rPr>
          <w:rFonts w:ascii="Arial" w:hAnsi="Arial" w:cs="Arial"/>
          <w:sz w:val="24"/>
          <w:szCs w:val="24"/>
        </w:rPr>
        <w:t>est I</w:t>
      </w:r>
      <w:r w:rsidRPr="00194F4C">
        <w:rPr>
          <w:rFonts w:ascii="Arial" w:hAnsi="Arial" w:cs="Arial"/>
          <w:sz w:val="24"/>
          <w:szCs w:val="24"/>
        </w:rPr>
        <w:t>nterest</w:t>
      </w:r>
      <w:r w:rsidR="00DC4418">
        <w:rPr>
          <w:rFonts w:ascii="Arial" w:hAnsi="Arial" w:cs="Arial"/>
          <w:sz w:val="24"/>
          <w:szCs w:val="24"/>
        </w:rPr>
        <w:t>s</w:t>
      </w:r>
      <w:r w:rsidRPr="00194F4C">
        <w:rPr>
          <w:rFonts w:ascii="Arial" w:hAnsi="Arial" w:cs="Arial"/>
          <w:sz w:val="24"/>
          <w:szCs w:val="24"/>
        </w:rPr>
        <w:t xml:space="preserve"> </w:t>
      </w:r>
      <w:r w:rsidR="00DF0EBF" w:rsidRPr="00194F4C">
        <w:rPr>
          <w:rFonts w:ascii="Arial" w:hAnsi="Arial" w:cs="Arial"/>
          <w:sz w:val="24"/>
          <w:szCs w:val="24"/>
        </w:rPr>
        <w:t>deci</w:t>
      </w:r>
      <w:r w:rsidR="00194F4C" w:rsidRPr="00194F4C">
        <w:rPr>
          <w:rFonts w:ascii="Arial" w:hAnsi="Arial" w:cs="Arial"/>
          <w:sz w:val="24"/>
          <w:szCs w:val="24"/>
        </w:rPr>
        <w:t>sion</w:t>
      </w:r>
      <w:r w:rsidR="00DF0EBF" w:rsidRPr="00194F4C">
        <w:rPr>
          <w:rFonts w:ascii="Arial" w:hAnsi="Arial" w:cs="Arial"/>
          <w:sz w:val="24"/>
          <w:szCs w:val="24"/>
        </w:rPr>
        <w:t xml:space="preserve"> and clear recor</w:t>
      </w:r>
      <w:r w:rsidR="00194F4C">
        <w:rPr>
          <w:rFonts w:ascii="Arial" w:hAnsi="Arial" w:cs="Arial"/>
          <w:sz w:val="24"/>
          <w:szCs w:val="24"/>
        </w:rPr>
        <w:t>ds</w:t>
      </w:r>
      <w:proofErr w:type="gramStart"/>
      <w:r w:rsidR="00194F4C">
        <w:rPr>
          <w:rFonts w:ascii="Arial" w:hAnsi="Arial" w:cs="Arial"/>
          <w:sz w:val="24"/>
          <w:szCs w:val="24"/>
        </w:rPr>
        <w:t>-;</w:t>
      </w:r>
      <w:proofErr w:type="gramEnd"/>
    </w:p>
    <w:p w14:paraId="4E73B6CB" w14:textId="77777777" w:rsidR="00194F4C" w:rsidRPr="00194F4C" w:rsidRDefault="00E71EFA" w:rsidP="007245AC">
      <w:pPr>
        <w:pStyle w:val="ListParagraph"/>
        <w:numPr>
          <w:ilvl w:val="0"/>
          <w:numId w:val="15"/>
        </w:numPr>
        <w:ind w:left="1418"/>
        <w:rPr>
          <w:rFonts w:ascii="Arial" w:hAnsi="Arial" w:cs="Arial"/>
          <w:sz w:val="24"/>
          <w:szCs w:val="24"/>
        </w:rPr>
      </w:pPr>
      <w:r>
        <w:rPr>
          <w:rFonts w:ascii="Arial" w:hAnsi="Arial" w:cs="Arial"/>
          <w:sz w:val="24"/>
          <w:szCs w:val="24"/>
        </w:rPr>
        <w:t xml:space="preserve">Liaise with </w:t>
      </w:r>
      <w:r w:rsidR="00EC44F7">
        <w:rPr>
          <w:rFonts w:ascii="Arial" w:hAnsi="Arial" w:cs="Arial"/>
          <w:sz w:val="24"/>
          <w:szCs w:val="24"/>
        </w:rPr>
        <w:t xml:space="preserve">individual, </w:t>
      </w:r>
      <w:r>
        <w:rPr>
          <w:rFonts w:ascii="Arial" w:hAnsi="Arial" w:cs="Arial"/>
          <w:sz w:val="24"/>
          <w:szCs w:val="24"/>
        </w:rPr>
        <w:t>family,</w:t>
      </w:r>
      <w:r w:rsidR="00194F4C" w:rsidRPr="00194F4C">
        <w:rPr>
          <w:rFonts w:ascii="Arial" w:hAnsi="Arial" w:cs="Arial"/>
          <w:sz w:val="24"/>
          <w:szCs w:val="24"/>
        </w:rPr>
        <w:t xml:space="preserve"> friends and professionals inc</w:t>
      </w:r>
      <w:r w:rsidR="00D53A8B">
        <w:rPr>
          <w:rFonts w:ascii="Arial" w:hAnsi="Arial" w:cs="Arial"/>
          <w:sz w:val="24"/>
          <w:szCs w:val="24"/>
        </w:rPr>
        <w:t>luding</w:t>
      </w:r>
      <w:r w:rsidR="00194F4C" w:rsidRPr="00194F4C">
        <w:rPr>
          <w:rFonts w:ascii="Arial" w:hAnsi="Arial" w:cs="Arial"/>
          <w:sz w:val="24"/>
          <w:szCs w:val="24"/>
        </w:rPr>
        <w:t xml:space="preserve"> GP, care agency</w:t>
      </w:r>
      <w:r w:rsidR="00DB4ACF">
        <w:rPr>
          <w:rFonts w:ascii="Arial" w:hAnsi="Arial" w:cs="Arial"/>
          <w:sz w:val="24"/>
          <w:szCs w:val="24"/>
        </w:rPr>
        <w:t xml:space="preserve"> and landlord.</w:t>
      </w:r>
    </w:p>
    <w:p w14:paraId="48386A67" w14:textId="77777777" w:rsidR="00194F4C" w:rsidRPr="00194F4C" w:rsidRDefault="00194F4C" w:rsidP="007245AC">
      <w:pPr>
        <w:pStyle w:val="ListParagraph"/>
        <w:numPr>
          <w:ilvl w:val="0"/>
          <w:numId w:val="15"/>
        </w:numPr>
        <w:ind w:left="1418"/>
        <w:rPr>
          <w:rFonts w:ascii="Arial" w:hAnsi="Arial" w:cs="Arial"/>
          <w:sz w:val="24"/>
          <w:szCs w:val="24"/>
        </w:rPr>
      </w:pPr>
      <w:r w:rsidRPr="00194F4C">
        <w:rPr>
          <w:rFonts w:ascii="Arial" w:hAnsi="Arial" w:cs="Arial"/>
          <w:sz w:val="24"/>
          <w:szCs w:val="24"/>
        </w:rPr>
        <w:t>Consider referral to IMCA</w:t>
      </w:r>
      <w:r w:rsidR="00310D5E">
        <w:rPr>
          <w:rFonts w:ascii="Arial" w:hAnsi="Arial" w:cs="Arial"/>
          <w:sz w:val="24"/>
          <w:szCs w:val="24"/>
        </w:rPr>
        <w:t>/advocate</w:t>
      </w:r>
      <w:r w:rsidRPr="00194F4C">
        <w:rPr>
          <w:rFonts w:ascii="Arial" w:hAnsi="Arial" w:cs="Arial"/>
          <w:sz w:val="24"/>
          <w:szCs w:val="24"/>
        </w:rPr>
        <w:t xml:space="preserve"> for indepen</w:t>
      </w:r>
      <w:r w:rsidR="006F144E">
        <w:rPr>
          <w:rFonts w:ascii="Arial" w:hAnsi="Arial" w:cs="Arial"/>
          <w:sz w:val="24"/>
          <w:szCs w:val="24"/>
        </w:rPr>
        <w:t>dent advocacy with the decision</w:t>
      </w:r>
      <w:r w:rsidRPr="00194F4C">
        <w:rPr>
          <w:rFonts w:ascii="Arial" w:hAnsi="Arial" w:cs="Arial"/>
          <w:sz w:val="24"/>
          <w:szCs w:val="24"/>
        </w:rPr>
        <w:t xml:space="preserve"> </w:t>
      </w:r>
    </w:p>
    <w:p w14:paraId="3756D765" w14:textId="77777777" w:rsidR="00CC6E71" w:rsidRDefault="00CC6E71" w:rsidP="007245AC">
      <w:pPr>
        <w:pStyle w:val="ListParagraph"/>
        <w:numPr>
          <w:ilvl w:val="0"/>
          <w:numId w:val="15"/>
        </w:numPr>
        <w:ind w:left="1418"/>
        <w:rPr>
          <w:rFonts w:ascii="Arial" w:hAnsi="Arial" w:cs="Arial"/>
          <w:sz w:val="24"/>
          <w:szCs w:val="24"/>
        </w:rPr>
      </w:pPr>
      <w:r>
        <w:rPr>
          <w:rFonts w:ascii="Arial" w:hAnsi="Arial" w:cs="Arial"/>
          <w:sz w:val="24"/>
          <w:szCs w:val="24"/>
        </w:rPr>
        <w:t>The worker must consider the person</w:t>
      </w:r>
      <w:r w:rsidR="00E71EFA">
        <w:rPr>
          <w:rFonts w:ascii="Arial" w:hAnsi="Arial" w:cs="Arial"/>
          <w:sz w:val="24"/>
          <w:szCs w:val="24"/>
        </w:rPr>
        <w:t>’</w:t>
      </w:r>
      <w:r w:rsidR="003E6685">
        <w:rPr>
          <w:rFonts w:ascii="Arial" w:hAnsi="Arial" w:cs="Arial"/>
          <w:sz w:val="24"/>
          <w:szCs w:val="24"/>
        </w:rPr>
        <w:t>s</w:t>
      </w:r>
      <w:r>
        <w:rPr>
          <w:rFonts w:ascii="Arial" w:hAnsi="Arial" w:cs="Arial"/>
          <w:sz w:val="24"/>
          <w:szCs w:val="24"/>
        </w:rPr>
        <w:t xml:space="preserve"> wishes, beliefs and v</w:t>
      </w:r>
      <w:r w:rsidR="003E6685">
        <w:rPr>
          <w:rFonts w:ascii="Arial" w:hAnsi="Arial" w:cs="Arial"/>
          <w:sz w:val="24"/>
          <w:szCs w:val="24"/>
        </w:rPr>
        <w:t>alues prior to</w:t>
      </w:r>
      <w:r w:rsidR="002952A1">
        <w:rPr>
          <w:rFonts w:ascii="Arial" w:hAnsi="Arial" w:cs="Arial"/>
          <w:sz w:val="24"/>
          <w:szCs w:val="24"/>
        </w:rPr>
        <w:t xml:space="preserve"> and after</w:t>
      </w:r>
      <w:r w:rsidR="003E6685">
        <w:rPr>
          <w:rFonts w:ascii="Arial" w:hAnsi="Arial" w:cs="Arial"/>
          <w:sz w:val="24"/>
          <w:szCs w:val="24"/>
        </w:rPr>
        <w:t xml:space="preserve"> losing capacity.</w:t>
      </w:r>
      <w:r w:rsidR="00A65855">
        <w:rPr>
          <w:rFonts w:ascii="Arial" w:hAnsi="Arial" w:cs="Arial"/>
          <w:sz w:val="24"/>
          <w:szCs w:val="24"/>
        </w:rPr>
        <w:t xml:space="preserve"> </w:t>
      </w:r>
      <w:r>
        <w:rPr>
          <w:rFonts w:ascii="Arial" w:hAnsi="Arial" w:cs="Arial"/>
          <w:sz w:val="24"/>
          <w:szCs w:val="24"/>
        </w:rPr>
        <w:t>This information can be gathered from the person’s network or any writ</w:t>
      </w:r>
      <w:r w:rsidR="002952A1">
        <w:rPr>
          <w:rFonts w:ascii="Arial" w:hAnsi="Arial" w:cs="Arial"/>
          <w:sz w:val="24"/>
          <w:szCs w:val="24"/>
        </w:rPr>
        <w:t xml:space="preserve">ten information that may exist (previous assessments) </w:t>
      </w:r>
    </w:p>
    <w:p w14:paraId="19921FB3" w14:textId="77777777" w:rsidR="00403BBE" w:rsidRPr="00403BBE" w:rsidRDefault="00403BBE" w:rsidP="007245AC">
      <w:pPr>
        <w:pStyle w:val="ListParagraph"/>
        <w:numPr>
          <w:ilvl w:val="0"/>
          <w:numId w:val="15"/>
        </w:numPr>
        <w:ind w:left="1418"/>
        <w:rPr>
          <w:rFonts w:ascii="Arial" w:hAnsi="Arial" w:cs="Arial"/>
          <w:sz w:val="24"/>
          <w:szCs w:val="24"/>
        </w:rPr>
      </w:pPr>
      <w:r w:rsidRPr="00194F4C">
        <w:rPr>
          <w:rFonts w:ascii="Arial" w:hAnsi="Arial" w:cs="Arial"/>
          <w:sz w:val="24"/>
          <w:szCs w:val="24"/>
        </w:rPr>
        <w:t xml:space="preserve">Convene a </w:t>
      </w:r>
      <w:proofErr w:type="gramStart"/>
      <w:r w:rsidRPr="00194F4C">
        <w:rPr>
          <w:rFonts w:ascii="Arial" w:hAnsi="Arial" w:cs="Arial"/>
          <w:sz w:val="24"/>
          <w:szCs w:val="24"/>
        </w:rPr>
        <w:t>best interest</w:t>
      </w:r>
      <w:r w:rsidR="00DC4418">
        <w:rPr>
          <w:rFonts w:ascii="Arial" w:hAnsi="Arial" w:cs="Arial"/>
          <w:sz w:val="24"/>
          <w:szCs w:val="24"/>
        </w:rPr>
        <w:t>s</w:t>
      </w:r>
      <w:proofErr w:type="gramEnd"/>
      <w:r w:rsidRPr="00194F4C">
        <w:rPr>
          <w:rFonts w:ascii="Arial" w:hAnsi="Arial" w:cs="Arial"/>
          <w:sz w:val="24"/>
          <w:szCs w:val="24"/>
        </w:rPr>
        <w:t xml:space="preserve"> meeting and agree </w:t>
      </w:r>
      <w:r w:rsidR="00E71EFA">
        <w:rPr>
          <w:rFonts w:ascii="Arial" w:hAnsi="Arial" w:cs="Arial"/>
          <w:sz w:val="24"/>
          <w:szCs w:val="24"/>
        </w:rPr>
        <w:t xml:space="preserve">a </w:t>
      </w:r>
      <w:r w:rsidRPr="00194F4C">
        <w:rPr>
          <w:rFonts w:ascii="Arial" w:hAnsi="Arial" w:cs="Arial"/>
          <w:sz w:val="24"/>
          <w:szCs w:val="24"/>
        </w:rPr>
        <w:t>best interest</w:t>
      </w:r>
      <w:r w:rsidR="00DC4418">
        <w:rPr>
          <w:rFonts w:ascii="Arial" w:hAnsi="Arial" w:cs="Arial"/>
          <w:sz w:val="24"/>
          <w:szCs w:val="24"/>
        </w:rPr>
        <w:t>s</w:t>
      </w:r>
      <w:r w:rsidRPr="00194F4C">
        <w:rPr>
          <w:rFonts w:ascii="Arial" w:hAnsi="Arial" w:cs="Arial"/>
          <w:sz w:val="24"/>
          <w:szCs w:val="24"/>
        </w:rPr>
        <w:t xml:space="preserve"> decision</w:t>
      </w:r>
    </w:p>
    <w:p w14:paraId="15D6DFFC" w14:textId="77777777" w:rsidR="006F144E" w:rsidRPr="00C9605E" w:rsidRDefault="00032717" w:rsidP="007245AC">
      <w:pPr>
        <w:pStyle w:val="ListParagraph"/>
        <w:numPr>
          <w:ilvl w:val="0"/>
          <w:numId w:val="15"/>
        </w:numPr>
        <w:ind w:left="1418"/>
        <w:rPr>
          <w:rFonts w:ascii="Arial" w:hAnsi="Arial" w:cs="Arial"/>
          <w:sz w:val="24"/>
          <w:szCs w:val="24"/>
        </w:rPr>
      </w:pPr>
      <w:r>
        <w:rPr>
          <w:rFonts w:ascii="Arial" w:hAnsi="Arial" w:cs="Arial"/>
          <w:sz w:val="24"/>
          <w:szCs w:val="24"/>
        </w:rPr>
        <w:t xml:space="preserve">Record clearly the best </w:t>
      </w:r>
      <w:proofErr w:type="gramStart"/>
      <w:r>
        <w:rPr>
          <w:rFonts w:ascii="Arial" w:hAnsi="Arial" w:cs="Arial"/>
          <w:sz w:val="24"/>
          <w:szCs w:val="24"/>
        </w:rPr>
        <w:t>int</w:t>
      </w:r>
      <w:r w:rsidR="002952A1">
        <w:rPr>
          <w:rFonts w:ascii="Arial" w:hAnsi="Arial" w:cs="Arial"/>
          <w:sz w:val="24"/>
          <w:szCs w:val="24"/>
        </w:rPr>
        <w:t>erest</w:t>
      </w:r>
      <w:r w:rsidR="00DC4418">
        <w:rPr>
          <w:rFonts w:ascii="Arial" w:hAnsi="Arial" w:cs="Arial"/>
          <w:sz w:val="24"/>
          <w:szCs w:val="24"/>
        </w:rPr>
        <w:t>s</w:t>
      </w:r>
      <w:proofErr w:type="gramEnd"/>
      <w:r w:rsidR="002952A1">
        <w:rPr>
          <w:rFonts w:ascii="Arial" w:hAnsi="Arial" w:cs="Arial"/>
          <w:sz w:val="24"/>
          <w:szCs w:val="24"/>
        </w:rPr>
        <w:t xml:space="preserve"> decis</w:t>
      </w:r>
      <w:r w:rsidR="00E71EFA">
        <w:rPr>
          <w:rFonts w:ascii="Arial" w:hAnsi="Arial" w:cs="Arial"/>
          <w:sz w:val="24"/>
          <w:szCs w:val="24"/>
        </w:rPr>
        <w:t xml:space="preserve">ion </w:t>
      </w:r>
      <w:r w:rsidR="00B8398B">
        <w:rPr>
          <w:rFonts w:ascii="Arial" w:hAnsi="Arial" w:cs="Arial"/>
          <w:sz w:val="24"/>
          <w:szCs w:val="24"/>
        </w:rPr>
        <w:t xml:space="preserve">clearly noting options considered </w:t>
      </w:r>
      <w:r w:rsidR="00E71EFA">
        <w:rPr>
          <w:rFonts w:ascii="Arial" w:hAnsi="Arial" w:cs="Arial"/>
          <w:sz w:val="24"/>
          <w:szCs w:val="24"/>
        </w:rPr>
        <w:t>and any conflicts that arose</w:t>
      </w:r>
    </w:p>
    <w:p w14:paraId="6F5B84BC" w14:textId="261A862D" w:rsidR="00425C33" w:rsidRDefault="00194F4C" w:rsidP="007245AC">
      <w:pPr>
        <w:pStyle w:val="ListParagraph"/>
        <w:numPr>
          <w:ilvl w:val="1"/>
          <w:numId w:val="14"/>
        </w:numPr>
        <w:ind w:left="993"/>
        <w:rPr>
          <w:rFonts w:ascii="Arial" w:hAnsi="Arial" w:cs="Arial"/>
          <w:sz w:val="24"/>
          <w:szCs w:val="24"/>
        </w:rPr>
      </w:pPr>
      <w:r w:rsidRPr="00425C33">
        <w:rPr>
          <w:rFonts w:ascii="Arial" w:hAnsi="Arial" w:cs="Arial"/>
          <w:sz w:val="24"/>
          <w:szCs w:val="24"/>
        </w:rPr>
        <w:lastRenderedPageBreak/>
        <w:t>C</w:t>
      </w:r>
      <w:r w:rsidR="00DF0EBF" w:rsidRPr="00425C33">
        <w:rPr>
          <w:rFonts w:ascii="Arial" w:hAnsi="Arial" w:cs="Arial"/>
          <w:sz w:val="24"/>
          <w:szCs w:val="24"/>
        </w:rPr>
        <w:t xml:space="preserve">larify </w:t>
      </w:r>
      <w:r w:rsidR="006C0C3C" w:rsidRPr="00425C33">
        <w:rPr>
          <w:rFonts w:ascii="Arial" w:hAnsi="Arial" w:cs="Arial"/>
          <w:sz w:val="24"/>
          <w:szCs w:val="24"/>
        </w:rPr>
        <w:t xml:space="preserve">there </w:t>
      </w:r>
      <w:r w:rsidRPr="00425C33">
        <w:rPr>
          <w:rFonts w:ascii="Arial" w:hAnsi="Arial" w:cs="Arial"/>
          <w:sz w:val="24"/>
          <w:szCs w:val="24"/>
        </w:rPr>
        <w:t xml:space="preserve">are </w:t>
      </w:r>
      <w:r w:rsidR="006C0C3C" w:rsidRPr="00425C33">
        <w:rPr>
          <w:rFonts w:ascii="Arial" w:hAnsi="Arial" w:cs="Arial"/>
          <w:sz w:val="24"/>
          <w:szCs w:val="24"/>
        </w:rPr>
        <w:t xml:space="preserve">no </w:t>
      </w:r>
      <w:r w:rsidR="00E71EFA" w:rsidRPr="00425C33">
        <w:rPr>
          <w:rFonts w:ascii="Arial" w:hAnsi="Arial" w:cs="Arial"/>
          <w:sz w:val="24"/>
          <w:szCs w:val="24"/>
        </w:rPr>
        <w:t xml:space="preserve">Deprivation of </w:t>
      </w:r>
      <w:r w:rsidR="006C0C3C" w:rsidRPr="00425C33">
        <w:rPr>
          <w:rFonts w:ascii="Arial" w:hAnsi="Arial" w:cs="Arial"/>
          <w:sz w:val="24"/>
          <w:szCs w:val="24"/>
        </w:rPr>
        <w:t>L</w:t>
      </w:r>
      <w:r w:rsidR="00E71EFA" w:rsidRPr="00425C33">
        <w:rPr>
          <w:rFonts w:ascii="Arial" w:hAnsi="Arial" w:cs="Arial"/>
          <w:sz w:val="24"/>
          <w:szCs w:val="24"/>
        </w:rPr>
        <w:t xml:space="preserve">iberty </w:t>
      </w:r>
      <w:r w:rsidR="00CD3D2A" w:rsidRPr="00425C33">
        <w:rPr>
          <w:rFonts w:ascii="Arial" w:hAnsi="Arial" w:cs="Arial"/>
          <w:sz w:val="24"/>
          <w:szCs w:val="24"/>
        </w:rPr>
        <w:t>S</w:t>
      </w:r>
      <w:r w:rsidR="00E71EFA" w:rsidRPr="00425C33">
        <w:rPr>
          <w:rFonts w:ascii="Arial" w:hAnsi="Arial" w:cs="Arial"/>
          <w:sz w:val="24"/>
          <w:szCs w:val="24"/>
        </w:rPr>
        <w:t>afeguards</w:t>
      </w:r>
      <w:r w:rsidR="00DF0EBF" w:rsidRPr="00425C33">
        <w:rPr>
          <w:rFonts w:ascii="Arial" w:hAnsi="Arial" w:cs="Arial"/>
          <w:sz w:val="24"/>
          <w:szCs w:val="24"/>
        </w:rPr>
        <w:t xml:space="preserve"> </w:t>
      </w:r>
      <w:r w:rsidR="00B8398B" w:rsidRPr="00425C33">
        <w:rPr>
          <w:rFonts w:ascii="Arial" w:hAnsi="Arial" w:cs="Arial"/>
          <w:sz w:val="24"/>
          <w:szCs w:val="24"/>
        </w:rPr>
        <w:t xml:space="preserve">in place </w:t>
      </w:r>
      <w:r w:rsidR="00F36513">
        <w:rPr>
          <w:rFonts w:ascii="Arial" w:hAnsi="Arial" w:cs="Arial"/>
          <w:sz w:val="24"/>
          <w:szCs w:val="24"/>
        </w:rPr>
        <w:t xml:space="preserve">to ensure there are no disputes </w:t>
      </w:r>
      <w:r w:rsidR="00B8398B" w:rsidRPr="00425C33">
        <w:rPr>
          <w:rFonts w:ascii="Arial" w:hAnsi="Arial" w:cs="Arial"/>
          <w:sz w:val="24"/>
          <w:szCs w:val="24"/>
        </w:rPr>
        <w:t xml:space="preserve">and/or make sure the necessary referrals for </w:t>
      </w:r>
      <w:proofErr w:type="spellStart"/>
      <w:r w:rsidR="00B8398B" w:rsidRPr="00425C33">
        <w:rPr>
          <w:rFonts w:ascii="Arial" w:hAnsi="Arial" w:cs="Arial"/>
          <w:sz w:val="24"/>
          <w:szCs w:val="24"/>
        </w:rPr>
        <w:t>D</w:t>
      </w:r>
      <w:r w:rsidR="0069476B">
        <w:rPr>
          <w:rFonts w:ascii="Arial" w:hAnsi="Arial" w:cs="Arial"/>
          <w:sz w:val="24"/>
          <w:szCs w:val="24"/>
        </w:rPr>
        <w:t>o</w:t>
      </w:r>
      <w:r w:rsidR="00B8398B" w:rsidRPr="00425C33">
        <w:rPr>
          <w:rFonts w:ascii="Arial" w:hAnsi="Arial" w:cs="Arial"/>
          <w:sz w:val="24"/>
          <w:szCs w:val="24"/>
        </w:rPr>
        <w:t>L</w:t>
      </w:r>
      <w:r w:rsidR="00CD3D2A" w:rsidRPr="00425C33">
        <w:rPr>
          <w:rFonts w:ascii="Arial" w:hAnsi="Arial" w:cs="Arial"/>
          <w:sz w:val="24"/>
          <w:szCs w:val="24"/>
        </w:rPr>
        <w:t>s</w:t>
      </w:r>
      <w:proofErr w:type="spellEnd"/>
      <w:r w:rsidR="00B8398B" w:rsidRPr="00425C33">
        <w:rPr>
          <w:rFonts w:ascii="Arial" w:hAnsi="Arial" w:cs="Arial"/>
          <w:sz w:val="24"/>
          <w:szCs w:val="24"/>
        </w:rPr>
        <w:t xml:space="preserve"> authorisation </w:t>
      </w:r>
      <w:r w:rsidR="00F36513">
        <w:rPr>
          <w:rFonts w:ascii="Arial" w:hAnsi="Arial" w:cs="Arial"/>
          <w:sz w:val="24"/>
          <w:szCs w:val="24"/>
        </w:rPr>
        <w:t>are</w:t>
      </w:r>
      <w:r w:rsidR="00B8398B" w:rsidRPr="00425C33">
        <w:rPr>
          <w:rFonts w:ascii="Arial" w:hAnsi="Arial" w:cs="Arial"/>
          <w:sz w:val="24"/>
          <w:szCs w:val="24"/>
        </w:rPr>
        <w:t xml:space="preserve"> made</w:t>
      </w:r>
      <w:r w:rsidR="00F36513">
        <w:rPr>
          <w:rFonts w:ascii="Arial" w:hAnsi="Arial" w:cs="Arial"/>
          <w:sz w:val="24"/>
          <w:szCs w:val="24"/>
        </w:rPr>
        <w:t>.</w:t>
      </w:r>
      <w:r w:rsidR="00953585">
        <w:rPr>
          <w:rFonts w:ascii="Arial" w:hAnsi="Arial" w:cs="Arial"/>
          <w:sz w:val="24"/>
          <w:szCs w:val="24"/>
        </w:rPr>
        <w:t xml:space="preserve"> </w:t>
      </w:r>
      <w:r w:rsidR="00CD3D2A" w:rsidRPr="00425C33">
        <w:rPr>
          <w:rFonts w:ascii="Arial" w:hAnsi="Arial" w:cs="Arial"/>
          <w:sz w:val="24"/>
          <w:szCs w:val="24"/>
        </w:rPr>
        <w:t xml:space="preserve">Deprivation of Liberty Safeguards will be </w:t>
      </w:r>
      <w:r w:rsidR="00151675" w:rsidRPr="00425C33">
        <w:rPr>
          <w:rFonts w:ascii="Arial" w:hAnsi="Arial" w:cs="Arial"/>
          <w:sz w:val="24"/>
          <w:szCs w:val="24"/>
        </w:rPr>
        <w:t>changing to Liberty Pro</w:t>
      </w:r>
      <w:r w:rsidR="00425C33">
        <w:rPr>
          <w:rFonts w:ascii="Arial" w:hAnsi="Arial" w:cs="Arial"/>
          <w:sz w:val="24"/>
          <w:szCs w:val="24"/>
        </w:rPr>
        <w:t>tection Standards.</w:t>
      </w:r>
    </w:p>
    <w:p w14:paraId="2500175C" w14:textId="52D31EB4" w:rsidR="006F144E" w:rsidRPr="00425C33" w:rsidRDefault="00DF0EBF" w:rsidP="007245AC">
      <w:pPr>
        <w:pStyle w:val="ListParagraph"/>
        <w:numPr>
          <w:ilvl w:val="1"/>
          <w:numId w:val="14"/>
        </w:numPr>
        <w:ind w:left="993"/>
        <w:rPr>
          <w:rFonts w:ascii="Arial" w:hAnsi="Arial" w:cs="Arial"/>
          <w:sz w:val="24"/>
          <w:szCs w:val="24"/>
        </w:rPr>
      </w:pPr>
      <w:r w:rsidRPr="00425C33">
        <w:rPr>
          <w:rFonts w:ascii="Arial" w:hAnsi="Arial" w:cs="Arial"/>
          <w:sz w:val="24"/>
          <w:szCs w:val="24"/>
        </w:rPr>
        <w:t>Discuss referral to C</w:t>
      </w:r>
      <w:r w:rsidR="00194F4C" w:rsidRPr="00425C33">
        <w:rPr>
          <w:rFonts w:ascii="Arial" w:hAnsi="Arial" w:cs="Arial"/>
          <w:sz w:val="24"/>
          <w:szCs w:val="24"/>
        </w:rPr>
        <w:t xml:space="preserve">ourt of </w:t>
      </w:r>
      <w:r w:rsidRPr="00425C33">
        <w:rPr>
          <w:rFonts w:ascii="Arial" w:hAnsi="Arial" w:cs="Arial"/>
          <w:sz w:val="24"/>
          <w:szCs w:val="24"/>
        </w:rPr>
        <w:t>P</w:t>
      </w:r>
      <w:r w:rsidR="00194F4C" w:rsidRPr="00425C33">
        <w:rPr>
          <w:rFonts w:ascii="Arial" w:hAnsi="Arial" w:cs="Arial"/>
          <w:sz w:val="24"/>
          <w:szCs w:val="24"/>
        </w:rPr>
        <w:t>rotection</w:t>
      </w:r>
      <w:r w:rsidRPr="00425C33">
        <w:rPr>
          <w:rFonts w:ascii="Arial" w:hAnsi="Arial" w:cs="Arial"/>
          <w:sz w:val="24"/>
          <w:szCs w:val="24"/>
        </w:rPr>
        <w:t xml:space="preserve"> with Team Manager </w:t>
      </w:r>
      <w:r w:rsidR="00B8398B" w:rsidRPr="00425C33">
        <w:rPr>
          <w:rFonts w:ascii="Arial" w:hAnsi="Arial" w:cs="Arial"/>
          <w:sz w:val="24"/>
          <w:szCs w:val="24"/>
        </w:rPr>
        <w:t xml:space="preserve">and if deprivation </w:t>
      </w:r>
      <w:r w:rsidR="005E3F38" w:rsidRPr="00425C33">
        <w:rPr>
          <w:rFonts w:ascii="Arial" w:hAnsi="Arial" w:cs="Arial"/>
          <w:sz w:val="24"/>
          <w:szCs w:val="24"/>
        </w:rPr>
        <w:t xml:space="preserve"> </w:t>
      </w:r>
      <w:r w:rsidR="00B8398B" w:rsidRPr="00425C33">
        <w:rPr>
          <w:rFonts w:ascii="Arial" w:hAnsi="Arial" w:cs="Arial"/>
          <w:sz w:val="24"/>
          <w:szCs w:val="24"/>
        </w:rPr>
        <w:t>of liberty indicated in the community consider su</w:t>
      </w:r>
      <w:r w:rsidR="00E841F5">
        <w:rPr>
          <w:rFonts w:ascii="Arial" w:hAnsi="Arial" w:cs="Arial"/>
          <w:sz w:val="24"/>
          <w:szCs w:val="24"/>
        </w:rPr>
        <w:t>bmitting a joint application (Co</w:t>
      </w:r>
      <w:r w:rsidR="00B8398B" w:rsidRPr="00425C33">
        <w:rPr>
          <w:rFonts w:ascii="Arial" w:hAnsi="Arial" w:cs="Arial"/>
          <w:sz w:val="24"/>
          <w:szCs w:val="24"/>
        </w:rPr>
        <w:t xml:space="preserve">P, </w:t>
      </w:r>
      <w:proofErr w:type="spellStart"/>
      <w:r w:rsidR="00B8398B" w:rsidRPr="00425C33">
        <w:rPr>
          <w:rFonts w:ascii="Arial" w:hAnsi="Arial" w:cs="Arial"/>
          <w:sz w:val="24"/>
          <w:szCs w:val="24"/>
        </w:rPr>
        <w:t>D</w:t>
      </w:r>
      <w:r w:rsidR="0069476B">
        <w:rPr>
          <w:rFonts w:ascii="Arial" w:hAnsi="Arial" w:cs="Arial"/>
          <w:sz w:val="24"/>
          <w:szCs w:val="24"/>
        </w:rPr>
        <w:t>o</w:t>
      </w:r>
      <w:r w:rsidR="00B8398B" w:rsidRPr="00425C33">
        <w:rPr>
          <w:rFonts w:ascii="Arial" w:hAnsi="Arial" w:cs="Arial"/>
          <w:sz w:val="24"/>
          <w:szCs w:val="24"/>
        </w:rPr>
        <w:t>LS</w:t>
      </w:r>
      <w:proofErr w:type="spellEnd"/>
      <w:r w:rsidR="00E841F5">
        <w:rPr>
          <w:rFonts w:ascii="Arial" w:hAnsi="Arial" w:cs="Arial"/>
          <w:sz w:val="24"/>
          <w:szCs w:val="24"/>
        </w:rPr>
        <w:t xml:space="preserve"> and tenancy). (For advice on Co</w:t>
      </w:r>
      <w:r w:rsidR="00B8398B" w:rsidRPr="00425C33">
        <w:rPr>
          <w:rFonts w:ascii="Arial" w:hAnsi="Arial" w:cs="Arial"/>
          <w:sz w:val="24"/>
          <w:szCs w:val="24"/>
        </w:rPr>
        <w:t xml:space="preserve">P </w:t>
      </w:r>
      <w:r w:rsidR="00663FDC">
        <w:rPr>
          <w:rFonts w:ascii="Arial" w:hAnsi="Arial" w:cs="Arial"/>
          <w:sz w:val="24"/>
          <w:szCs w:val="24"/>
        </w:rPr>
        <w:t xml:space="preserve">and </w:t>
      </w:r>
      <w:proofErr w:type="spellStart"/>
      <w:r w:rsidR="00B8398B" w:rsidRPr="00425C33">
        <w:rPr>
          <w:rFonts w:ascii="Arial" w:hAnsi="Arial" w:cs="Arial"/>
          <w:sz w:val="24"/>
          <w:szCs w:val="24"/>
        </w:rPr>
        <w:t>D</w:t>
      </w:r>
      <w:r w:rsidR="0069476B">
        <w:rPr>
          <w:rFonts w:ascii="Arial" w:hAnsi="Arial" w:cs="Arial"/>
          <w:sz w:val="24"/>
          <w:szCs w:val="24"/>
        </w:rPr>
        <w:t>o</w:t>
      </w:r>
      <w:r w:rsidR="00B8398B" w:rsidRPr="00425C33">
        <w:rPr>
          <w:rFonts w:ascii="Arial" w:hAnsi="Arial" w:cs="Arial"/>
          <w:sz w:val="24"/>
          <w:szCs w:val="24"/>
        </w:rPr>
        <w:t>L</w:t>
      </w:r>
      <w:r w:rsidR="00663FDC">
        <w:rPr>
          <w:rFonts w:ascii="Arial" w:hAnsi="Arial" w:cs="Arial"/>
          <w:sz w:val="24"/>
          <w:szCs w:val="24"/>
        </w:rPr>
        <w:t>S</w:t>
      </w:r>
      <w:proofErr w:type="spellEnd"/>
      <w:r w:rsidR="00B8398B" w:rsidRPr="00425C33">
        <w:rPr>
          <w:rFonts w:ascii="Arial" w:hAnsi="Arial" w:cs="Arial"/>
          <w:sz w:val="24"/>
          <w:szCs w:val="24"/>
        </w:rPr>
        <w:t xml:space="preserve"> contact the </w:t>
      </w:r>
      <w:proofErr w:type="spellStart"/>
      <w:r w:rsidR="00B8398B" w:rsidRPr="00425C33">
        <w:rPr>
          <w:rFonts w:ascii="Arial" w:hAnsi="Arial" w:cs="Arial"/>
          <w:sz w:val="24"/>
          <w:szCs w:val="24"/>
        </w:rPr>
        <w:t>D</w:t>
      </w:r>
      <w:r w:rsidR="0069476B">
        <w:rPr>
          <w:rFonts w:ascii="Arial" w:hAnsi="Arial" w:cs="Arial"/>
          <w:sz w:val="24"/>
          <w:szCs w:val="24"/>
        </w:rPr>
        <w:t>o</w:t>
      </w:r>
      <w:r w:rsidR="00B8398B" w:rsidRPr="00425C33">
        <w:rPr>
          <w:rFonts w:ascii="Arial" w:hAnsi="Arial" w:cs="Arial"/>
          <w:sz w:val="24"/>
          <w:szCs w:val="24"/>
        </w:rPr>
        <w:t>LS</w:t>
      </w:r>
      <w:proofErr w:type="spellEnd"/>
      <w:r w:rsidR="00B8398B" w:rsidRPr="00425C33">
        <w:rPr>
          <w:rFonts w:ascii="Arial" w:hAnsi="Arial" w:cs="Arial"/>
          <w:sz w:val="24"/>
          <w:szCs w:val="24"/>
        </w:rPr>
        <w:t xml:space="preserve"> team or the legal department). </w:t>
      </w:r>
    </w:p>
    <w:p w14:paraId="0F8CF007" w14:textId="1E76676A" w:rsidR="00C9605E" w:rsidRPr="00C9605E" w:rsidRDefault="00194F4C" w:rsidP="007245AC">
      <w:pPr>
        <w:pStyle w:val="ListParagraph"/>
        <w:numPr>
          <w:ilvl w:val="1"/>
          <w:numId w:val="14"/>
        </w:numPr>
        <w:ind w:left="993"/>
        <w:rPr>
          <w:rFonts w:ascii="Arial" w:hAnsi="Arial" w:cs="Arial"/>
          <w:sz w:val="24"/>
          <w:szCs w:val="24"/>
        </w:rPr>
      </w:pPr>
      <w:r w:rsidRPr="00194F4C">
        <w:rPr>
          <w:rFonts w:ascii="Arial" w:hAnsi="Arial" w:cs="Arial"/>
          <w:sz w:val="24"/>
          <w:szCs w:val="24"/>
        </w:rPr>
        <w:t xml:space="preserve">Complete all forms </w:t>
      </w:r>
      <w:r w:rsidR="00DF0EBF" w:rsidRPr="00194F4C">
        <w:rPr>
          <w:rFonts w:ascii="Arial" w:hAnsi="Arial" w:cs="Arial"/>
          <w:sz w:val="24"/>
          <w:szCs w:val="24"/>
        </w:rPr>
        <w:t xml:space="preserve">required for </w:t>
      </w:r>
      <w:r w:rsidR="00E841F5">
        <w:rPr>
          <w:rFonts w:ascii="Arial" w:hAnsi="Arial" w:cs="Arial"/>
          <w:sz w:val="24"/>
          <w:szCs w:val="24"/>
        </w:rPr>
        <w:t>one off Co</w:t>
      </w:r>
      <w:r w:rsidRPr="00194F4C">
        <w:rPr>
          <w:rFonts w:ascii="Arial" w:hAnsi="Arial" w:cs="Arial"/>
          <w:sz w:val="24"/>
          <w:szCs w:val="24"/>
        </w:rPr>
        <w:t xml:space="preserve">P </w:t>
      </w:r>
      <w:r w:rsidR="00DF0EBF" w:rsidRPr="00194F4C">
        <w:rPr>
          <w:rFonts w:ascii="Arial" w:hAnsi="Arial" w:cs="Arial"/>
          <w:sz w:val="24"/>
          <w:szCs w:val="24"/>
        </w:rPr>
        <w:t>applications-:</w:t>
      </w:r>
    </w:p>
    <w:p w14:paraId="2CE0FA96" w14:textId="13224C2C" w:rsidR="00DF0EBF" w:rsidRPr="00E577B2" w:rsidRDefault="00E841F5" w:rsidP="007245AC">
      <w:pPr>
        <w:pStyle w:val="ListParagraph"/>
        <w:numPr>
          <w:ilvl w:val="2"/>
          <w:numId w:val="14"/>
        </w:numPr>
        <w:ind w:left="1418"/>
        <w:rPr>
          <w:rFonts w:ascii="Arial" w:hAnsi="Arial" w:cs="Arial"/>
          <w:sz w:val="24"/>
          <w:szCs w:val="24"/>
        </w:rPr>
      </w:pPr>
      <w:r>
        <w:rPr>
          <w:rFonts w:ascii="Arial" w:hAnsi="Arial" w:cs="Arial"/>
          <w:sz w:val="24"/>
          <w:szCs w:val="24"/>
        </w:rPr>
        <w:t>CoP</w:t>
      </w:r>
      <w:r w:rsidR="00DF0EBF" w:rsidRPr="00E577B2">
        <w:rPr>
          <w:rFonts w:ascii="Arial" w:hAnsi="Arial" w:cs="Arial"/>
          <w:sz w:val="24"/>
          <w:szCs w:val="24"/>
        </w:rPr>
        <w:t>1</w:t>
      </w:r>
    </w:p>
    <w:p w14:paraId="4DFA0F41" w14:textId="774186F6" w:rsidR="00DF0EBF" w:rsidRPr="00E577B2" w:rsidRDefault="00E841F5" w:rsidP="007245AC">
      <w:pPr>
        <w:pStyle w:val="ListParagraph"/>
        <w:numPr>
          <w:ilvl w:val="2"/>
          <w:numId w:val="14"/>
        </w:numPr>
        <w:ind w:left="1418"/>
        <w:rPr>
          <w:rFonts w:ascii="Arial" w:hAnsi="Arial" w:cs="Arial"/>
          <w:sz w:val="24"/>
          <w:szCs w:val="24"/>
        </w:rPr>
      </w:pPr>
      <w:r>
        <w:rPr>
          <w:rFonts w:ascii="Arial" w:hAnsi="Arial" w:cs="Arial"/>
          <w:sz w:val="24"/>
          <w:szCs w:val="24"/>
        </w:rPr>
        <w:t>CoP</w:t>
      </w:r>
      <w:r w:rsidR="00DF0EBF" w:rsidRPr="00E577B2">
        <w:rPr>
          <w:rFonts w:ascii="Arial" w:hAnsi="Arial" w:cs="Arial"/>
          <w:sz w:val="24"/>
          <w:szCs w:val="24"/>
        </w:rPr>
        <w:t>3</w:t>
      </w:r>
    </w:p>
    <w:p w14:paraId="0D280463" w14:textId="6592631F" w:rsidR="00DF0EBF" w:rsidRPr="00E577B2" w:rsidRDefault="00E841F5" w:rsidP="007245AC">
      <w:pPr>
        <w:pStyle w:val="ListParagraph"/>
        <w:numPr>
          <w:ilvl w:val="2"/>
          <w:numId w:val="14"/>
        </w:numPr>
        <w:ind w:left="1418"/>
        <w:rPr>
          <w:rFonts w:ascii="Arial" w:hAnsi="Arial" w:cs="Arial"/>
          <w:sz w:val="24"/>
          <w:szCs w:val="24"/>
        </w:rPr>
      </w:pPr>
      <w:r>
        <w:rPr>
          <w:rFonts w:ascii="Arial" w:hAnsi="Arial" w:cs="Arial"/>
          <w:sz w:val="24"/>
          <w:szCs w:val="24"/>
        </w:rPr>
        <w:t>CoP</w:t>
      </w:r>
      <w:r w:rsidR="00DF0EBF" w:rsidRPr="00E577B2">
        <w:rPr>
          <w:rFonts w:ascii="Arial" w:hAnsi="Arial" w:cs="Arial"/>
          <w:sz w:val="24"/>
          <w:szCs w:val="24"/>
        </w:rPr>
        <w:t>24</w:t>
      </w:r>
    </w:p>
    <w:p w14:paraId="533D0049" w14:textId="7FE0A4D9" w:rsidR="00C9605E" w:rsidRPr="00C9605E" w:rsidRDefault="00E841F5" w:rsidP="007245AC">
      <w:pPr>
        <w:pStyle w:val="ListParagraph"/>
        <w:numPr>
          <w:ilvl w:val="2"/>
          <w:numId w:val="14"/>
        </w:numPr>
        <w:ind w:left="1418"/>
        <w:rPr>
          <w:rFonts w:ascii="Arial" w:hAnsi="Arial" w:cs="Arial"/>
          <w:sz w:val="24"/>
          <w:szCs w:val="24"/>
        </w:rPr>
      </w:pPr>
      <w:r>
        <w:rPr>
          <w:rFonts w:ascii="Arial" w:hAnsi="Arial" w:cs="Arial"/>
          <w:sz w:val="24"/>
          <w:szCs w:val="24"/>
        </w:rPr>
        <w:t>CoP</w:t>
      </w:r>
      <w:r w:rsidR="00DF0EBF" w:rsidRPr="00E577B2">
        <w:rPr>
          <w:rFonts w:ascii="Arial" w:hAnsi="Arial" w:cs="Arial"/>
          <w:sz w:val="24"/>
          <w:szCs w:val="24"/>
        </w:rPr>
        <w:t>44a exemption fee (to exe</w:t>
      </w:r>
      <w:r w:rsidR="009508BF">
        <w:rPr>
          <w:rFonts w:ascii="Arial" w:hAnsi="Arial" w:cs="Arial"/>
          <w:sz w:val="24"/>
          <w:szCs w:val="24"/>
        </w:rPr>
        <w:t>mp</w:t>
      </w:r>
      <w:r w:rsidR="009508BF" w:rsidRPr="00CD3D2A">
        <w:rPr>
          <w:rFonts w:ascii="Arial" w:hAnsi="Arial" w:cs="Arial"/>
          <w:sz w:val="24"/>
          <w:szCs w:val="24"/>
          <w:highlight w:val="yellow"/>
        </w:rPr>
        <w:t>t £</w:t>
      </w:r>
      <w:r w:rsidR="00E129CE" w:rsidRPr="00CD3D2A">
        <w:rPr>
          <w:rFonts w:ascii="Arial" w:hAnsi="Arial" w:cs="Arial"/>
          <w:sz w:val="24"/>
          <w:szCs w:val="24"/>
          <w:highlight w:val="yellow"/>
        </w:rPr>
        <w:t>365</w:t>
      </w:r>
      <w:r w:rsidR="009508BF">
        <w:rPr>
          <w:rFonts w:ascii="Arial" w:hAnsi="Arial" w:cs="Arial"/>
          <w:sz w:val="24"/>
          <w:szCs w:val="24"/>
        </w:rPr>
        <w:t xml:space="preserve">) </w:t>
      </w:r>
      <w:r w:rsidR="00DF0EBF" w:rsidRPr="00E577B2">
        <w:rPr>
          <w:rFonts w:ascii="Arial" w:hAnsi="Arial" w:cs="Arial"/>
          <w:sz w:val="24"/>
          <w:szCs w:val="24"/>
        </w:rPr>
        <w:t xml:space="preserve">customer could have an exemption if </w:t>
      </w:r>
      <w:proofErr w:type="gramStart"/>
      <w:r w:rsidR="00DF0EBF" w:rsidRPr="00E577B2">
        <w:rPr>
          <w:rFonts w:ascii="Arial" w:hAnsi="Arial" w:cs="Arial"/>
          <w:sz w:val="24"/>
          <w:szCs w:val="24"/>
        </w:rPr>
        <w:t>low income</w:t>
      </w:r>
      <w:proofErr w:type="gramEnd"/>
      <w:r w:rsidR="00DF0EBF" w:rsidRPr="00E577B2">
        <w:rPr>
          <w:rFonts w:ascii="Arial" w:hAnsi="Arial" w:cs="Arial"/>
          <w:sz w:val="24"/>
          <w:szCs w:val="24"/>
        </w:rPr>
        <w:t>/</w:t>
      </w:r>
      <w:r w:rsidR="00575E0C" w:rsidRPr="00E577B2">
        <w:rPr>
          <w:rFonts w:ascii="Arial" w:hAnsi="Arial" w:cs="Arial"/>
          <w:sz w:val="24"/>
          <w:szCs w:val="24"/>
        </w:rPr>
        <w:t>capital/</w:t>
      </w:r>
      <w:r w:rsidR="00DF0EBF" w:rsidRPr="00E577B2">
        <w:rPr>
          <w:rFonts w:ascii="Arial" w:hAnsi="Arial" w:cs="Arial"/>
          <w:sz w:val="24"/>
          <w:szCs w:val="24"/>
        </w:rPr>
        <w:t xml:space="preserve"> disability benefits </w:t>
      </w:r>
    </w:p>
    <w:p w14:paraId="6640E4CE" w14:textId="77777777" w:rsidR="00194F4C" w:rsidRPr="00194F4C" w:rsidRDefault="00194F4C" w:rsidP="007245AC">
      <w:pPr>
        <w:pStyle w:val="ListParagraph"/>
        <w:numPr>
          <w:ilvl w:val="1"/>
          <w:numId w:val="14"/>
        </w:numPr>
        <w:ind w:left="993"/>
        <w:rPr>
          <w:rFonts w:ascii="Arial" w:hAnsi="Arial" w:cs="Arial"/>
          <w:sz w:val="24"/>
          <w:szCs w:val="24"/>
        </w:rPr>
      </w:pPr>
      <w:r w:rsidRPr="00194F4C">
        <w:rPr>
          <w:rFonts w:ascii="Arial" w:hAnsi="Arial" w:cs="Arial"/>
          <w:sz w:val="24"/>
          <w:szCs w:val="24"/>
        </w:rPr>
        <w:t xml:space="preserve">Social Worker/Decision Maker to sign all documents </w:t>
      </w:r>
    </w:p>
    <w:p w14:paraId="6296AF71" w14:textId="77777777" w:rsidR="00194F4C" w:rsidRPr="00194F4C" w:rsidRDefault="006F144E" w:rsidP="007245AC">
      <w:pPr>
        <w:pStyle w:val="ListParagraph"/>
        <w:numPr>
          <w:ilvl w:val="1"/>
          <w:numId w:val="14"/>
        </w:numPr>
        <w:ind w:left="993"/>
        <w:rPr>
          <w:rFonts w:ascii="Arial" w:hAnsi="Arial" w:cs="Arial"/>
          <w:sz w:val="24"/>
          <w:szCs w:val="24"/>
        </w:rPr>
      </w:pPr>
      <w:r>
        <w:rPr>
          <w:rFonts w:ascii="Arial" w:hAnsi="Arial" w:cs="Arial"/>
          <w:sz w:val="24"/>
          <w:szCs w:val="24"/>
        </w:rPr>
        <w:t>Team M</w:t>
      </w:r>
      <w:r w:rsidR="00DF0EBF" w:rsidRPr="00194F4C">
        <w:rPr>
          <w:rFonts w:ascii="Arial" w:hAnsi="Arial" w:cs="Arial"/>
          <w:sz w:val="24"/>
          <w:szCs w:val="24"/>
        </w:rPr>
        <w:t xml:space="preserve">anager to </w:t>
      </w:r>
      <w:r w:rsidR="00194F4C" w:rsidRPr="00194F4C">
        <w:rPr>
          <w:rFonts w:ascii="Arial" w:hAnsi="Arial" w:cs="Arial"/>
          <w:sz w:val="24"/>
          <w:szCs w:val="24"/>
        </w:rPr>
        <w:t>approve the application</w:t>
      </w:r>
    </w:p>
    <w:p w14:paraId="49D55E83" w14:textId="77777777" w:rsidR="00194F4C" w:rsidRDefault="00194F4C" w:rsidP="007245AC">
      <w:pPr>
        <w:pStyle w:val="ListParagraph"/>
        <w:numPr>
          <w:ilvl w:val="1"/>
          <w:numId w:val="14"/>
        </w:numPr>
        <w:ind w:left="993"/>
        <w:rPr>
          <w:rFonts w:ascii="Arial" w:hAnsi="Arial" w:cs="Arial"/>
          <w:sz w:val="24"/>
          <w:szCs w:val="24"/>
        </w:rPr>
      </w:pPr>
      <w:r w:rsidRPr="00194F4C">
        <w:rPr>
          <w:rFonts w:ascii="Arial" w:hAnsi="Arial" w:cs="Arial"/>
          <w:sz w:val="24"/>
          <w:szCs w:val="24"/>
        </w:rPr>
        <w:t>Scan and</w:t>
      </w:r>
      <w:r w:rsidR="006F144E">
        <w:rPr>
          <w:rFonts w:ascii="Arial" w:hAnsi="Arial" w:cs="Arial"/>
          <w:sz w:val="24"/>
          <w:szCs w:val="24"/>
        </w:rPr>
        <w:t xml:space="preserve"> retain a copy of all documents</w:t>
      </w:r>
    </w:p>
    <w:p w14:paraId="1997A6FA" w14:textId="215A8FBC" w:rsidR="00CB1B4D" w:rsidRPr="002F4585" w:rsidRDefault="00F36513" w:rsidP="007245AC">
      <w:pPr>
        <w:pStyle w:val="ListParagraph"/>
        <w:numPr>
          <w:ilvl w:val="1"/>
          <w:numId w:val="14"/>
        </w:numPr>
        <w:ind w:left="993"/>
        <w:rPr>
          <w:rFonts w:ascii="Arial" w:hAnsi="Arial" w:cs="Arial"/>
          <w:sz w:val="28"/>
          <w:szCs w:val="24"/>
        </w:rPr>
      </w:pPr>
      <w:r>
        <w:rPr>
          <w:rFonts w:ascii="Arial" w:hAnsi="Arial" w:cs="Arial"/>
          <w:sz w:val="24"/>
          <w:lang w:val="en"/>
        </w:rPr>
        <w:t>Legal services will</w:t>
      </w:r>
      <w:r w:rsidR="00425C33">
        <w:rPr>
          <w:rFonts w:ascii="Arial" w:hAnsi="Arial" w:cs="Arial"/>
          <w:sz w:val="24"/>
          <w:lang w:val="en"/>
        </w:rPr>
        <w:t xml:space="preserve"> e</w:t>
      </w:r>
      <w:r w:rsidR="00AA1801" w:rsidRPr="002F4585">
        <w:rPr>
          <w:rFonts w:ascii="Arial" w:hAnsi="Arial" w:cs="Arial"/>
          <w:sz w:val="24"/>
          <w:lang w:val="en"/>
        </w:rPr>
        <w:t>m</w:t>
      </w:r>
      <w:r w:rsidR="00425C33">
        <w:rPr>
          <w:rFonts w:ascii="Arial" w:hAnsi="Arial" w:cs="Arial"/>
          <w:sz w:val="24"/>
          <w:lang w:val="en"/>
        </w:rPr>
        <w:t xml:space="preserve">ail all documents to </w:t>
      </w:r>
      <w:hyperlink r:id="rId14" w:history="1">
        <w:r w:rsidR="00AA1801" w:rsidRPr="008855F1">
          <w:rPr>
            <w:rStyle w:val="Hyperlink"/>
            <w:rFonts w:ascii="Arial" w:hAnsi="Arial" w:cs="Arial"/>
            <w:b/>
            <w:bCs/>
            <w:sz w:val="24"/>
            <w:lang w:val="en"/>
          </w:rPr>
          <w:t>courtofprotectionenquiries@hmcts.gsi.gov.uk</w:t>
        </w:r>
      </w:hyperlink>
    </w:p>
    <w:p w14:paraId="69ED810F" w14:textId="77777777" w:rsidR="005D0069" w:rsidRPr="00CB1B4D" w:rsidRDefault="005D0069" w:rsidP="007245AC">
      <w:pPr>
        <w:pStyle w:val="ListParagraph"/>
        <w:numPr>
          <w:ilvl w:val="1"/>
          <w:numId w:val="14"/>
        </w:numPr>
        <w:ind w:left="993"/>
        <w:rPr>
          <w:rFonts w:ascii="Arial" w:hAnsi="Arial" w:cs="Arial"/>
          <w:sz w:val="24"/>
          <w:szCs w:val="24"/>
        </w:rPr>
      </w:pPr>
      <w:r w:rsidRPr="00CB1B4D">
        <w:rPr>
          <w:rFonts w:ascii="Arial" w:hAnsi="Arial" w:cs="Arial"/>
          <w:sz w:val="24"/>
          <w:szCs w:val="24"/>
        </w:rPr>
        <w:t xml:space="preserve">On </w:t>
      </w:r>
      <w:r w:rsidR="00575E0C" w:rsidRPr="00CB1B4D">
        <w:rPr>
          <w:rFonts w:ascii="Arial" w:hAnsi="Arial" w:cs="Arial"/>
          <w:sz w:val="24"/>
          <w:szCs w:val="24"/>
        </w:rPr>
        <w:t>receipt</w:t>
      </w:r>
      <w:r w:rsidRPr="00CB1B4D">
        <w:rPr>
          <w:rFonts w:ascii="Arial" w:hAnsi="Arial" w:cs="Arial"/>
          <w:sz w:val="24"/>
          <w:szCs w:val="24"/>
        </w:rPr>
        <w:t xml:space="preserve"> of the sealed order from the C</w:t>
      </w:r>
      <w:r w:rsidR="00E71EFA">
        <w:rPr>
          <w:rFonts w:ascii="Arial" w:hAnsi="Arial" w:cs="Arial"/>
          <w:sz w:val="24"/>
          <w:szCs w:val="24"/>
        </w:rPr>
        <w:t xml:space="preserve">ourt of Protection </w:t>
      </w:r>
      <w:proofErr w:type="gramStart"/>
      <w:r w:rsidR="00CB1B4D">
        <w:rPr>
          <w:rFonts w:ascii="Arial" w:hAnsi="Arial" w:cs="Arial"/>
          <w:sz w:val="24"/>
          <w:szCs w:val="24"/>
        </w:rPr>
        <w:t>-;</w:t>
      </w:r>
      <w:proofErr w:type="gramEnd"/>
    </w:p>
    <w:p w14:paraId="577D1E26" w14:textId="77777777" w:rsidR="00120EA3" w:rsidRPr="0055466C" w:rsidRDefault="006F144E" w:rsidP="007245AC">
      <w:pPr>
        <w:pStyle w:val="ListParagraph"/>
        <w:numPr>
          <w:ilvl w:val="2"/>
          <w:numId w:val="14"/>
        </w:numPr>
        <w:ind w:left="1418"/>
        <w:rPr>
          <w:rFonts w:ascii="Arial" w:hAnsi="Arial" w:cs="Arial"/>
          <w:sz w:val="24"/>
          <w:szCs w:val="24"/>
        </w:rPr>
      </w:pPr>
      <w:r w:rsidRPr="0055466C">
        <w:rPr>
          <w:rFonts w:ascii="Arial" w:hAnsi="Arial" w:cs="Arial"/>
          <w:sz w:val="24"/>
          <w:szCs w:val="24"/>
        </w:rPr>
        <w:t>The Notice to Quit</w:t>
      </w:r>
      <w:r w:rsidR="005D0069" w:rsidRPr="0055466C">
        <w:rPr>
          <w:rFonts w:ascii="Arial" w:hAnsi="Arial" w:cs="Arial"/>
          <w:sz w:val="24"/>
          <w:szCs w:val="24"/>
        </w:rPr>
        <w:t>/tenancy</w:t>
      </w:r>
      <w:r w:rsidR="006C0C3C" w:rsidRPr="0055466C">
        <w:rPr>
          <w:rFonts w:ascii="Arial" w:hAnsi="Arial" w:cs="Arial"/>
          <w:sz w:val="24"/>
          <w:szCs w:val="24"/>
        </w:rPr>
        <w:t xml:space="preserve"> agreement needs to be signed by</w:t>
      </w:r>
      <w:r w:rsidR="005D0069" w:rsidRPr="0055466C">
        <w:rPr>
          <w:rFonts w:ascii="Arial" w:hAnsi="Arial" w:cs="Arial"/>
          <w:sz w:val="24"/>
          <w:szCs w:val="24"/>
        </w:rPr>
        <w:t xml:space="preserve"> the </w:t>
      </w:r>
      <w:r w:rsidR="00E71EFA" w:rsidRPr="0055466C">
        <w:rPr>
          <w:rFonts w:ascii="Arial" w:hAnsi="Arial" w:cs="Arial"/>
          <w:sz w:val="24"/>
          <w:szCs w:val="24"/>
        </w:rPr>
        <w:t>authorising</w:t>
      </w:r>
      <w:r w:rsidR="005D0069" w:rsidRPr="0055466C">
        <w:rPr>
          <w:rFonts w:ascii="Arial" w:hAnsi="Arial" w:cs="Arial"/>
          <w:sz w:val="24"/>
          <w:szCs w:val="24"/>
        </w:rPr>
        <w:t xml:space="preserve"> officer of LBC, currently </w:t>
      </w:r>
      <w:r w:rsidR="00E44863" w:rsidRPr="0055466C">
        <w:rPr>
          <w:rFonts w:ascii="Arial" w:hAnsi="Arial" w:cs="Arial"/>
          <w:sz w:val="24"/>
          <w:szCs w:val="24"/>
        </w:rPr>
        <w:t xml:space="preserve">the </w:t>
      </w:r>
      <w:r w:rsidR="00D30C05" w:rsidRPr="0055466C">
        <w:rPr>
          <w:rFonts w:ascii="Arial" w:hAnsi="Arial" w:cs="Arial"/>
          <w:sz w:val="24"/>
          <w:szCs w:val="24"/>
        </w:rPr>
        <w:t xml:space="preserve"> </w:t>
      </w:r>
      <w:r w:rsidR="00CB1B4D" w:rsidRPr="0055466C">
        <w:rPr>
          <w:rFonts w:ascii="Arial" w:hAnsi="Arial" w:cs="Arial"/>
          <w:sz w:val="24"/>
          <w:szCs w:val="24"/>
        </w:rPr>
        <w:t>Director of Adult Social Care</w:t>
      </w:r>
      <w:r w:rsidR="00C9605E" w:rsidRPr="0055466C">
        <w:rPr>
          <w:rFonts w:ascii="Arial" w:hAnsi="Arial" w:cs="Arial"/>
          <w:sz w:val="24"/>
          <w:szCs w:val="24"/>
        </w:rPr>
        <w:t>.</w:t>
      </w:r>
      <w:r w:rsidR="00CB1B4D" w:rsidRPr="0055466C">
        <w:rPr>
          <w:rFonts w:ascii="Arial" w:hAnsi="Arial" w:cs="Arial"/>
          <w:sz w:val="24"/>
          <w:szCs w:val="24"/>
        </w:rPr>
        <w:t xml:space="preserve"> </w:t>
      </w:r>
    </w:p>
    <w:p w14:paraId="75050547" w14:textId="359621F3" w:rsidR="00256ED8" w:rsidRPr="00E841F5" w:rsidRDefault="00256ED8" w:rsidP="007245AC">
      <w:pPr>
        <w:rPr>
          <w:rFonts w:ascii="Arial" w:hAnsi="Arial" w:cs="Arial"/>
          <w:sz w:val="24"/>
          <w:szCs w:val="24"/>
        </w:rPr>
      </w:pPr>
    </w:p>
    <w:p w14:paraId="26509CCF" w14:textId="77777777" w:rsidR="005A4D27" w:rsidRDefault="00CA745D" w:rsidP="007245AC">
      <w:pPr>
        <w:pStyle w:val="Heading1"/>
        <w:numPr>
          <w:ilvl w:val="0"/>
          <w:numId w:val="0"/>
        </w:numPr>
        <w:ind w:left="284" w:hanging="284"/>
        <w:jc w:val="left"/>
      </w:pPr>
      <w:bookmarkStart w:id="12" w:name="_Toc62550046"/>
      <w:r w:rsidRPr="00EC44F7">
        <w:t>References</w:t>
      </w:r>
      <w:bookmarkEnd w:id="12"/>
      <w:r w:rsidRPr="00EC44F7">
        <w:t xml:space="preserve"> </w:t>
      </w:r>
    </w:p>
    <w:p w14:paraId="7D9C86FD" w14:textId="77777777" w:rsidR="00CA745D" w:rsidRPr="00F36513" w:rsidRDefault="00CA745D" w:rsidP="007245AC">
      <w:pPr>
        <w:pStyle w:val="ListParagraph"/>
        <w:numPr>
          <w:ilvl w:val="1"/>
          <w:numId w:val="24"/>
        </w:numPr>
        <w:spacing w:after="0"/>
        <w:ind w:left="567"/>
        <w:rPr>
          <w:rFonts w:ascii="Arial" w:hAnsi="Arial" w:cs="Arial"/>
          <w:sz w:val="24"/>
        </w:rPr>
      </w:pPr>
      <w:r w:rsidRPr="00F36513">
        <w:rPr>
          <w:rFonts w:ascii="Arial" w:hAnsi="Arial" w:cs="Arial"/>
          <w:sz w:val="24"/>
        </w:rPr>
        <w:t xml:space="preserve">Shelter, </w:t>
      </w:r>
      <w:r w:rsidR="00AD18A7" w:rsidRPr="00F36513">
        <w:rPr>
          <w:rFonts w:ascii="Arial" w:hAnsi="Arial" w:cs="Arial"/>
          <w:sz w:val="24"/>
        </w:rPr>
        <w:t>(undated)</w:t>
      </w:r>
      <w:r w:rsidR="005A0BB1" w:rsidRPr="00F36513">
        <w:rPr>
          <w:rFonts w:ascii="Arial" w:hAnsi="Arial" w:cs="Arial"/>
          <w:sz w:val="24"/>
        </w:rPr>
        <w:t xml:space="preserve"> </w:t>
      </w:r>
      <w:r w:rsidRPr="00F36513">
        <w:rPr>
          <w:rFonts w:ascii="Arial" w:hAnsi="Arial" w:cs="Arial"/>
          <w:sz w:val="24"/>
        </w:rPr>
        <w:t>Housi</w:t>
      </w:r>
      <w:r w:rsidR="008D0687" w:rsidRPr="00F36513">
        <w:rPr>
          <w:rFonts w:ascii="Arial" w:hAnsi="Arial" w:cs="Arial"/>
          <w:sz w:val="24"/>
        </w:rPr>
        <w:t xml:space="preserve">ng benefit while away from home, Shelter Organisation </w:t>
      </w:r>
    </w:p>
    <w:p w14:paraId="78F39749" w14:textId="77777777" w:rsidR="005A0BB1" w:rsidRPr="00F36513" w:rsidRDefault="005A4D27" w:rsidP="007245AC">
      <w:pPr>
        <w:pStyle w:val="ListParagraph"/>
        <w:numPr>
          <w:ilvl w:val="1"/>
          <w:numId w:val="24"/>
        </w:numPr>
        <w:spacing w:after="0" w:line="240" w:lineRule="auto"/>
        <w:ind w:left="567"/>
        <w:rPr>
          <w:rStyle w:val="Hyperlink"/>
          <w:sz w:val="24"/>
        </w:rPr>
      </w:pPr>
      <w:hyperlink r:id="rId15" w:history="1">
        <w:r w:rsidRPr="00F36513">
          <w:rPr>
            <w:rStyle w:val="Hyperlink"/>
            <w:rFonts w:ascii="Arial" w:hAnsi="Arial" w:cs="Arial"/>
            <w:sz w:val="24"/>
          </w:rPr>
          <w:t>https://england.shelter.org.uk/housing_advice/housing_benefit/housing_benefit_while_away_from_home</w:t>
        </w:r>
      </w:hyperlink>
      <w:r w:rsidRPr="00F36513">
        <w:rPr>
          <w:rFonts w:ascii="Arial" w:hAnsi="Arial" w:cs="Arial"/>
          <w:sz w:val="24"/>
        </w:rPr>
        <w:t xml:space="preserve"> </w:t>
      </w:r>
    </w:p>
    <w:p w14:paraId="33FFC3A1" w14:textId="77777777" w:rsidR="00CA745D" w:rsidRPr="00F36513" w:rsidRDefault="00AD18A7" w:rsidP="007245AC">
      <w:pPr>
        <w:pStyle w:val="ListParagraph"/>
        <w:numPr>
          <w:ilvl w:val="1"/>
          <w:numId w:val="24"/>
        </w:numPr>
        <w:spacing w:after="0"/>
        <w:ind w:left="567"/>
        <w:rPr>
          <w:rFonts w:ascii="Arial" w:hAnsi="Arial" w:cs="Arial"/>
          <w:sz w:val="24"/>
        </w:rPr>
      </w:pPr>
      <w:r w:rsidRPr="00F36513">
        <w:rPr>
          <w:rFonts w:ascii="Arial" w:hAnsi="Arial" w:cs="Arial"/>
          <w:sz w:val="24"/>
        </w:rPr>
        <w:t>UK Government (2015)</w:t>
      </w:r>
      <w:r w:rsidR="00CA745D" w:rsidRPr="00F36513">
        <w:rPr>
          <w:rFonts w:ascii="Arial" w:hAnsi="Arial" w:cs="Arial"/>
          <w:sz w:val="24"/>
        </w:rPr>
        <w:t xml:space="preserve"> The Care Act </w:t>
      </w:r>
    </w:p>
    <w:p w14:paraId="7600D7EB" w14:textId="77777777" w:rsidR="007E69C9" w:rsidRPr="00F36513" w:rsidRDefault="005A4D27" w:rsidP="007245AC">
      <w:pPr>
        <w:pStyle w:val="ListParagraph"/>
        <w:numPr>
          <w:ilvl w:val="1"/>
          <w:numId w:val="24"/>
        </w:numPr>
        <w:spacing w:after="0"/>
        <w:ind w:left="567"/>
        <w:rPr>
          <w:rFonts w:ascii="Arial" w:hAnsi="Arial" w:cs="Arial"/>
          <w:sz w:val="24"/>
        </w:rPr>
      </w:pPr>
      <w:hyperlink r:id="rId16" w:history="1">
        <w:r w:rsidRPr="00F36513">
          <w:rPr>
            <w:rStyle w:val="Hyperlink"/>
            <w:rFonts w:ascii="Arial" w:hAnsi="Arial" w:cs="Arial"/>
            <w:sz w:val="24"/>
          </w:rPr>
          <w:t>http://www.legislation.gov.uk/ukpga/2014/23/contents/enacted</w:t>
        </w:r>
      </w:hyperlink>
      <w:r w:rsidRPr="00F36513">
        <w:rPr>
          <w:rFonts w:ascii="Arial" w:hAnsi="Arial" w:cs="Arial"/>
          <w:sz w:val="24"/>
        </w:rPr>
        <w:t xml:space="preserve"> </w:t>
      </w:r>
    </w:p>
    <w:p w14:paraId="196849CF" w14:textId="77777777" w:rsidR="007E69C9" w:rsidRPr="00F36513" w:rsidRDefault="007E69C9" w:rsidP="007245AC">
      <w:pPr>
        <w:pStyle w:val="ListParagraph"/>
        <w:numPr>
          <w:ilvl w:val="1"/>
          <w:numId w:val="24"/>
        </w:numPr>
        <w:spacing w:after="0"/>
        <w:ind w:left="567"/>
        <w:rPr>
          <w:rFonts w:ascii="Arial" w:hAnsi="Arial" w:cs="Arial"/>
          <w:sz w:val="24"/>
        </w:rPr>
      </w:pPr>
      <w:r w:rsidRPr="00F36513">
        <w:rPr>
          <w:rFonts w:ascii="Arial" w:hAnsi="Arial" w:cs="Arial"/>
          <w:sz w:val="24"/>
        </w:rPr>
        <w:t>Mental Capacity Act 2005</w:t>
      </w:r>
    </w:p>
    <w:p w14:paraId="50E4525B" w14:textId="77777777" w:rsidR="007E69C9" w:rsidRPr="00F36513" w:rsidRDefault="007E69C9" w:rsidP="007245AC">
      <w:pPr>
        <w:pStyle w:val="ListParagraph"/>
        <w:numPr>
          <w:ilvl w:val="1"/>
          <w:numId w:val="24"/>
        </w:numPr>
        <w:spacing w:after="0"/>
        <w:ind w:left="567"/>
        <w:rPr>
          <w:rFonts w:ascii="Arial" w:hAnsi="Arial" w:cs="Arial"/>
          <w:sz w:val="24"/>
        </w:rPr>
      </w:pPr>
      <w:hyperlink r:id="rId17" w:history="1">
        <w:r w:rsidRPr="00F36513">
          <w:rPr>
            <w:rStyle w:val="Hyperlink"/>
            <w:rFonts w:ascii="Arial" w:hAnsi="Arial" w:cs="Arial"/>
            <w:sz w:val="24"/>
          </w:rPr>
          <w:t>https://www.legislation.gov.uk/ukpga/2005/9/contents</w:t>
        </w:r>
      </w:hyperlink>
    </w:p>
    <w:p w14:paraId="623843D3" w14:textId="77777777" w:rsidR="0075015C" w:rsidRPr="00F36513" w:rsidRDefault="007E69C9" w:rsidP="007245AC">
      <w:pPr>
        <w:pStyle w:val="ListParagraph"/>
        <w:numPr>
          <w:ilvl w:val="1"/>
          <w:numId w:val="24"/>
        </w:numPr>
        <w:spacing w:after="0"/>
        <w:ind w:left="567"/>
        <w:rPr>
          <w:rFonts w:ascii="Arial" w:hAnsi="Arial" w:cs="Arial"/>
          <w:sz w:val="24"/>
        </w:rPr>
      </w:pPr>
      <w:r w:rsidRPr="00F36513">
        <w:rPr>
          <w:rFonts w:ascii="Arial" w:hAnsi="Arial" w:cs="Arial"/>
          <w:sz w:val="24"/>
        </w:rPr>
        <w:t>Mental Health Act Code of Practice</w:t>
      </w:r>
    </w:p>
    <w:p w14:paraId="76662B65" w14:textId="77777777" w:rsidR="00256ED8" w:rsidRDefault="007E69C9" w:rsidP="007245AC">
      <w:pPr>
        <w:pStyle w:val="ListParagraph"/>
        <w:numPr>
          <w:ilvl w:val="1"/>
          <w:numId w:val="24"/>
        </w:numPr>
        <w:spacing w:after="0"/>
        <w:ind w:left="567"/>
        <w:rPr>
          <w:rFonts w:ascii="Arial" w:hAnsi="Arial" w:cs="Arial"/>
          <w:sz w:val="24"/>
          <w:lang w:val="en-US"/>
        </w:rPr>
      </w:pPr>
      <w:r w:rsidRPr="00F36513">
        <w:rPr>
          <w:rFonts w:ascii="Arial" w:hAnsi="Arial" w:cs="Arial"/>
          <w:sz w:val="24"/>
          <w:lang w:val="en-US"/>
        </w:rPr>
        <w:t>Office of the Public Guardian (OPG) (</w:t>
      </w:r>
      <w:hyperlink r:id="rId18" w:history="1">
        <w:r w:rsidRPr="00F36513">
          <w:rPr>
            <w:rStyle w:val="Hyperlink"/>
            <w:rFonts w:ascii="Arial" w:hAnsi="Arial" w:cs="Arial"/>
            <w:sz w:val="24"/>
            <w:lang w:val="en-US"/>
          </w:rPr>
          <w:t>www.guardianship.gov.uk</w:t>
        </w:r>
      </w:hyperlink>
      <w:r w:rsidRPr="00F36513">
        <w:rPr>
          <w:rFonts w:ascii="Arial" w:hAnsi="Arial" w:cs="Arial"/>
          <w:sz w:val="24"/>
          <w:lang w:val="en-US"/>
        </w:rPr>
        <w:t>).</w:t>
      </w:r>
    </w:p>
    <w:p w14:paraId="740FD1AE" w14:textId="62E0ADA2" w:rsidR="00256ED8" w:rsidRPr="00256ED8" w:rsidRDefault="00256ED8" w:rsidP="007245AC">
      <w:pPr>
        <w:rPr>
          <w:rFonts w:ascii="Arial" w:hAnsi="Arial" w:cs="Arial"/>
          <w:sz w:val="24"/>
          <w:lang w:val="en-US"/>
        </w:rPr>
      </w:pPr>
      <w:r>
        <w:rPr>
          <w:rFonts w:ascii="Arial" w:hAnsi="Arial" w:cs="Arial"/>
          <w:sz w:val="24"/>
          <w:lang w:val="en-US"/>
        </w:rPr>
        <w:br w:type="page"/>
      </w:r>
    </w:p>
    <w:p w14:paraId="690375C7" w14:textId="77777777" w:rsidR="00847273" w:rsidRPr="0075015C" w:rsidRDefault="00847273" w:rsidP="0075015C">
      <w:pPr>
        <w:pStyle w:val="Heading1"/>
        <w:numPr>
          <w:ilvl w:val="0"/>
          <w:numId w:val="0"/>
        </w:numPr>
        <w:ind w:left="284" w:hanging="284"/>
        <w:rPr>
          <w:sz w:val="22"/>
        </w:rPr>
      </w:pPr>
      <w:bookmarkStart w:id="13" w:name="_Toc62550047"/>
      <w:r w:rsidRPr="0075015C">
        <w:rPr>
          <w:sz w:val="22"/>
        </w:rPr>
        <w:lastRenderedPageBreak/>
        <w:t>Appendix 1</w:t>
      </w:r>
      <w:bookmarkEnd w:id="13"/>
    </w:p>
    <w:p w14:paraId="5FCED44E" w14:textId="1FF4A5A4" w:rsidR="00CF21C1" w:rsidRPr="00804302" w:rsidRDefault="00804302" w:rsidP="00804302">
      <w:pPr>
        <w:jc w:val="both"/>
        <w:rPr>
          <w:rFonts w:ascii="Arial" w:hAnsi="Arial" w:cs="Arial"/>
          <w:b/>
          <w:color w:val="404040" w:themeColor="text1" w:themeTint="BF"/>
          <w:sz w:val="24"/>
          <w:szCs w:val="24"/>
        </w:rPr>
      </w:pPr>
      <w:r w:rsidRPr="0075015C">
        <w:rPr>
          <w:b/>
          <w:noProof/>
        </w:rPr>
        <w:drawing>
          <wp:anchor distT="0" distB="0" distL="114300" distR="114300" simplePos="0" relativeHeight="251658240" behindDoc="0" locked="0" layoutInCell="1" allowOverlap="1" wp14:anchorId="6AF941CA" wp14:editId="69A1F5D1">
            <wp:simplePos x="0" y="0"/>
            <wp:positionH relativeFrom="column">
              <wp:posOffset>-160414</wp:posOffset>
            </wp:positionH>
            <wp:positionV relativeFrom="paragraph">
              <wp:posOffset>328995</wp:posOffset>
            </wp:positionV>
            <wp:extent cx="5486400" cy="8132618"/>
            <wp:effectExtent l="0" t="0" r="19050" b="2095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V relativeFrom="margin">
              <wp14:pctHeight>0</wp14:pctHeight>
            </wp14:sizeRelV>
          </wp:anchor>
        </w:drawing>
      </w:r>
      <w:r w:rsidR="00847273" w:rsidRPr="0075015C">
        <w:rPr>
          <w:rFonts w:ascii="Arial" w:hAnsi="Arial" w:cs="Arial"/>
          <w:b/>
          <w:color w:val="404040" w:themeColor="text1" w:themeTint="BF"/>
          <w:szCs w:val="24"/>
        </w:rPr>
        <w:t>Applications to the Court of Protection in relation to tenancy agreement</w:t>
      </w:r>
      <w:r w:rsidR="0075015C">
        <w:rPr>
          <w:rFonts w:ascii="Arial" w:hAnsi="Arial" w:cs="Arial"/>
          <w:b/>
          <w:color w:val="404040" w:themeColor="text1" w:themeTint="BF"/>
          <w:szCs w:val="24"/>
        </w:rPr>
        <w:t>s</w:t>
      </w:r>
    </w:p>
    <w:p w14:paraId="7AAC8DE9" w14:textId="3AAD80A5" w:rsidR="000C478B" w:rsidRPr="00256ED8" w:rsidRDefault="000C478B" w:rsidP="00804302">
      <w:pPr>
        <w:pStyle w:val="Heading1"/>
        <w:numPr>
          <w:ilvl w:val="0"/>
          <w:numId w:val="0"/>
        </w:numPr>
        <w:rPr>
          <w:rFonts w:cs="Times New Roman"/>
          <w:sz w:val="20"/>
          <w:szCs w:val="20"/>
          <w:lang w:val="en-US"/>
        </w:rPr>
      </w:pPr>
    </w:p>
    <w:sectPr w:rsidR="000C478B" w:rsidRPr="00256ED8" w:rsidSect="007245AC">
      <w:footerReference w:type="default" r:id="rId24"/>
      <w:pgSz w:w="11906" w:h="16838"/>
      <w:pgMar w:top="1134" w:right="1247" w:bottom="79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725C2" w14:textId="77777777" w:rsidR="00A409FC" w:rsidRDefault="00A409FC" w:rsidP="00C314B6">
      <w:pPr>
        <w:spacing w:after="0" w:line="240" w:lineRule="auto"/>
      </w:pPr>
      <w:r>
        <w:separator/>
      </w:r>
    </w:p>
  </w:endnote>
  <w:endnote w:type="continuationSeparator" w:id="0">
    <w:p w14:paraId="1F62D300" w14:textId="77777777" w:rsidR="00A409FC" w:rsidRDefault="00A409FC" w:rsidP="00C314B6">
      <w:pPr>
        <w:spacing w:after="0" w:line="240" w:lineRule="auto"/>
      </w:pPr>
      <w:r>
        <w:continuationSeparator/>
      </w:r>
    </w:p>
  </w:endnote>
  <w:endnote w:type="continuationNotice" w:id="1">
    <w:p w14:paraId="58B56B9A" w14:textId="77777777" w:rsidR="00A409FC" w:rsidRDefault="00A40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265118"/>
      <w:docPartObj>
        <w:docPartGallery w:val="Page Numbers (Bottom of Page)"/>
        <w:docPartUnique/>
      </w:docPartObj>
    </w:sdtPr>
    <w:sdtEndPr>
      <w:rPr>
        <w:noProof/>
      </w:rPr>
    </w:sdtEndPr>
    <w:sdtContent>
      <w:p w14:paraId="69AC1F2B" w14:textId="10931822" w:rsidR="0075015C" w:rsidRDefault="0075015C">
        <w:pPr>
          <w:pStyle w:val="Footer"/>
          <w:jc w:val="right"/>
        </w:pPr>
        <w:r>
          <w:fldChar w:fldCharType="begin"/>
        </w:r>
        <w:r>
          <w:instrText xml:space="preserve"> PAGE   \* MERGEFORMAT </w:instrText>
        </w:r>
        <w:r>
          <w:fldChar w:fldCharType="separate"/>
        </w:r>
        <w:r w:rsidR="00A860CF">
          <w:rPr>
            <w:noProof/>
          </w:rPr>
          <w:t>4</w:t>
        </w:r>
        <w:r>
          <w:rPr>
            <w:noProof/>
          </w:rPr>
          <w:fldChar w:fldCharType="end"/>
        </w:r>
      </w:p>
    </w:sdtContent>
  </w:sdt>
  <w:p w14:paraId="0B3498BB" w14:textId="77777777" w:rsidR="0075015C" w:rsidRDefault="0075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445A" w14:textId="77777777" w:rsidR="00A409FC" w:rsidRDefault="00A409FC" w:rsidP="00C314B6">
      <w:pPr>
        <w:spacing w:after="0" w:line="240" w:lineRule="auto"/>
      </w:pPr>
      <w:r>
        <w:separator/>
      </w:r>
    </w:p>
  </w:footnote>
  <w:footnote w:type="continuationSeparator" w:id="0">
    <w:p w14:paraId="72F3BB11" w14:textId="77777777" w:rsidR="00A409FC" w:rsidRDefault="00A409FC" w:rsidP="00C314B6">
      <w:pPr>
        <w:spacing w:after="0" w:line="240" w:lineRule="auto"/>
      </w:pPr>
      <w:r>
        <w:continuationSeparator/>
      </w:r>
    </w:p>
  </w:footnote>
  <w:footnote w:type="continuationNotice" w:id="1">
    <w:p w14:paraId="750A5496" w14:textId="77777777" w:rsidR="00A409FC" w:rsidRDefault="00A409FC">
      <w:pPr>
        <w:spacing w:after="0" w:line="240" w:lineRule="auto"/>
      </w:pPr>
    </w:p>
  </w:footnote>
  <w:footnote w:id="2">
    <w:p w14:paraId="54991FD5" w14:textId="77777777" w:rsidR="0075015C" w:rsidRPr="000A6886" w:rsidRDefault="0075015C" w:rsidP="000A6886">
      <w:pPr>
        <w:spacing w:after="0"/>
        <w:rPr>
          <w:rFonts w:ascii="Arial" w:hAnsi="Arial" w:cs="Arial"/>
          <w:sz w:val="16"/>
          <w:szCs w:val="16"/>
        </w:rPr>
      </w:pPr>
      <w:r>
        <w:rPr>
          <w:rStyle w:val="FootnoteReference"/>
        </w:rPr>
        <w:footnoteRef/>
      </w:r>
      <w:r>
        <w:t xml:space="preserve"> </w:t>
      </w:r>
      <w:r w:rsidRPr="000A6886">
        <w:rPr>
          <w:rFonts w:ascii="Arial" w:hAnsi="Arial" w:cs="Arial"/>
          <w:sz w:val="16"/>
          <w:szCs w:val="16"/>
        </w:rPr>
        <w:t xml:space="preserve">Housing benefit while away from home </w:t>
      </w:r>
    </w:p>
    <w:p w14:paraId="11671855" w14:textId="77777777" w:rsidR="0075015C" w:rsidRPr="000A6886" w:rsidRDefault="0075015C" w:rsidP="000A6886">
      <w:pPr>
        <w:spacing w:after="0"/>
        <w:rPr>
          <w:rFonts w:ascii="Arial" w:hAnsi="Arial" w:cs="Arial"/>
          <w:sz w:val="16"/>
          <w:szCs w:val="16"/>
        </w:rPr>
      </w:pPr>
      <w:r w:rsidRPr="000A6886">
        <w:rPr>
          <w:rFonts w:ascii="Arial" w:hAnsi="Arial" w:cs="Arial"/>
          <w:sz w:val="16"/>
          <w:szCs w:val="16"/>
        </w:rPr>
        <w:t>https://england.shelter.org.uk/housing_advice/housing_benefit/housing_benefit_while_away_from_home</w:t>
      </w:r>
    </w:p>
    <w:p w14:paraId="3B1D2236" w14:textId="77777777" w:rsidR="0075015C" w:rsidRPr="000A6886" w:rsidRDefault="0075015C" w:rsidP="000A6886">
      <w:pPr>
        <w:spacing w:after="0"/>
        <w:rPr>
          <w:rFonts w:ascii="Arial" w:hAnsi="Arial" w:cs="Arial"/>
          <w:sz w:val="16"/>
          <w:szCs w:val="16"/>
        </w:rPr>
      </w:pPr>
    </w:p>
    <w:p w14:paraId="67B64755" w14:textId="77777777" w:rsidR="0075015C" w:rsidRDefault="0075015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37F5"/>
    <w:multiLevelType w:val="hybridMultilevel"/>
    <w:tmpl w:val="DC58A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814D6"/>
    <w:multiLevelType w:val="hybridMultilevel"/>
    <w:tmpl w:val="1C6A5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B53A4"/>
    <w:multiLevelType w:val="hybridMultilevel"/>
    <w:tmpl w:val="F0FA4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35A20"/>
    <w:multiLevelType w:val="hybridMultilevel"/>
    <w:tmpl w:val="8A3E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126C2"/>
    <w:multiLevelType w:val="hybridMultilevel"/>
    <w:tmpl w:val="2402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54FEE"/>
    <w:multiLevelType w:val="hybridMultilevel"/>
    <w:tmpl w:val="232C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735B6"/>
    <w:multiLevelType w:val="hybridMultilevel"/>
    <w:tmpl w:val="7252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317DF"/>
    <w:multiLevelType w:val="hybridMultilevel"/>
    <w:tmpl w:val="0178D8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862F62"/>
    <w:multiLevelType w:val="hybridMultilevel"/>
    <w:tmpl w:val="FD400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71636"/>
    <w:multiLevelType w:val="hybridMultilevel"/>
    <w:tmpl w:val="A1360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3457E9"/>
    <w:multiLevelType w:val="hybridMultilevel"/>
    <w:tmpl w:val="B8AAEE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8EE5011"/>
    <w:multiLevelType w:val="multilevel"/>
    <w:tmpl w:val="8042D194"/>
    <w:lvl w:ilvl="0">
      <w:start w:val="1"/>
      <w:numFmt w:val="decimal"/>
      <w:pStyle w:val="Heading1"/>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771F01"/>
    <w:multiLevelType w:val="hybridMultilevel"/>
    <w:tmpl w:val="503C9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C47D9"/>
    <w:multiLevelType w:val="hybridMultilevel"/>
    <w:tmpl w:val="0B0C3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1C63A1"/>
    <w:multiLevelType w:val="hybridMultilevel"/>
    <w:tmpl w:val="2892DE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F7F5C"/>
    <w:multiLevelType w:val="hybridMultilevel"/>
    <w:tmpl w:val="8A42A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6A4F90"/>
    <w:multiLevelType w:val="hybridMultilevel"/>
    <w:tmpl w:val="76D4F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7172CC"/>
    <w:multiLevelType w:val="hybridMultilevel"/>
    <w:tmpl w:val="9A4CE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016A7"/>
    <w:multiLevelType w:val="hybridMultilevel"/>
    <w:tmpl w:val="83502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6B0AC5"/>
    <w:multiLevelType w:val="hybridMultilevel"/>
    <w:tmpl w:val="4A0C0AC6"/>
    <w:lvl w:ilvl="0" w:tplc="CB16A75A">
      <w:start w:val="1"/>
      <w:numFmt w:val="bullet"/>
      <w:lvlText w:val="•"/>
      <w:lvlJc w:val="left"/>
      <w:pPr>
        <w:ind w:left="720" w:hanging="360"/>
      </w:pPr>
      <w:rPr>
        <w:rFonts w:ascii="Arial" w:hAnsi="Aria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A57C9"/>
    <w:multiLevelType w:val="hybridMultilevel"/>
    <w:tmpl w:val="099C1E4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AF14AA4"/>
    <w:multiLevelType w:val="hybridMultilevel"/>
    <w:tmpl w:val="590C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14324"/>
    <w:multiLevelType w:val="hybridMultilevel"/>
    <w:tmpl w:val="F86C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C7AC5"/>
    <w:multiLevelType w:val="hybridMultilevel"/>
    <w:tmpl w:val="7A1E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043205">
    <w:abstractNumId w:val="6"/>
  </w:num>
  <w:num w:numId="2" w16cid:durableId="1247888017">
    <w:abstractNumId w:val="1"/>
  </w:num>
  <w:num w:numId="3" w16cid:durableId="2114401907">
    <w:abstractNumId w:val="3"/>
  </w:num>
  <w:num w:numId="4" w16cid:durableId="1218207065">
    <w:abstractNumId w:val="22"/>
  </w:num>
  <w:num w:numId="5" w16cid:durableId="1925869109">
    <w:abstractNumId w:val="23"/>
  </w:num>
  <w:num w:numId="6" w16cid:durableId="206380117">
    <w:abstractNumId w:val="4"/>
  </w:num>
  <w:num w:numId="7" w16cid:durableId="1441998112">
    <w:abstractNumId w:val="7"/>
  </w:num>
  <w:num w:numId="8" w16cid:durableId="1517620345">
    <w:abstractNumId w:val="9"/>
  </w:num>
  <w:num w:numId="9" w16cid:durableId="2038500444">
    <w:abstractNumId w:val="14"/>
  </w:num>
  <w:num w:numId="10" w16cid:durableId="783159472">
    <w:abstractNumId w:val="13"/>
  </w:num>
  <w:num w:numId="11" w16cid:durableId="953748929">
    <w:abstractNumId w:val="8"/>
  </w:num>
  <w:num w:numId="12" w16cid:durableId="379671217">
    <w:abstractNumId w:val="17"/>
  </w:num>
  <w:num w:numId="13" w16cid:durableId="274142262">
    <w:abstractNumId w:val="12"/>
  </w:num>
  <w:num w:numId="14" w16cid:durableId="836573324">
    <w:abstractNumId w:val="19"/>
  </w:num>
  <w:num w:numId="15" w16cid:durableId="2065249866">
    <w:abstractNumId w:val="20"/>
  </w:num>
  <w:num w:numId="16" w16cid:durableId="1401440175">
    <w:abstractNumId w:val="11"/>
  </w:num>
  <w:num w:numId="17" w16cid:durableId="1843013032">
    <w:abstractNumId w:val="18"/>
  </w:num>
  <w:num w:numId="18" w16cid:durableId="264577542">
    <w:abstractNumId w:val="15"/>
  </w:num>
  <w:num w:numId="19" w16cid:durableId="2076120109">
    <w:abstractNumId w:val="16"/>
  </w:num>
  <w:num w:numId="20" w16cid:durableId="24260127">
    <w:abstractNumId w:val="10"/>
  </w:num>
  <w:num w:numId="21" w16cid:durableId="491220515">
    <w:abstractNumId w:val="5"/>
  </w:num>
  <w:num w:numId="22" w16cid:durableId="1198808512">
    <w:abstractNumId w:val="21"/>
  </w:num>
  <w:num w:numId="23" w16cid:durableId="2016227007">
    <w:abstractNumId w:val="2"/>
  </w:num>
  <w:num w:numId="24" w16cid:durableId="40534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2A"/>
    <w:rsid w:val="00010671"/>
    <w:rsid w:val="00014414"/>
    <w:rsid w:val="0001470B"/>
    <w:rsid w:val="00017C57"/>
    <w:rsid w:val="00017F78"/>
    <w:rsid w:val="00020E0F"/>
    <w:rsid w:val="000317FF"/>
    <w:rsid w:val="00032717"/>
    <w:rsid w:val="00033462"/>
    <w:rsid w:val="000452AE"/>
    <w:rsid w:val="00054AD2"/>
    <w:rsid w:val="000625A2"/>
    <w:rsid w:val="0006521D"/>
    <w:rsid w:val="000718F1"/>
    <w:rsid w:val="0007223F"/>
    <w:rsid w:val="00075C7B"/>
    <w:rsid w:val="00077172"/>
    <w:rsid w:val="00080703"/>
    <w:rsid w:val="00084DD8"/>
    <w:rsid w:val="00085858"/>
    <w:rsid w:val="000948E2"/>
    <w:rsid w:val="000A0895"/>
    <w:rsid w:val="000A2376"/>
    <w:rsid w:val="000A6886"/>
    <w:rsid w:val="000C478B"/>
    <w:rsid w:val="000C5738"/>
    <w:rsid w:val="000D6E13"/>
    <w:rsid w:val="000F25A2"/>
    <w:rsid w:val="000F4DC3"/>
    <w:rsid w:val="000F5AA5"/>
    <w:rsid w:val="0010316A"/>
    <w:rsid w:val="0010492B"/>
    <w:rsid w:val="00113734"/>
    <w:rsid w:val="001151D4"/>
    <w:rsid w:val="001208BD"/>
    <w:rsid w:val="00120EA3"/>
    <w:rsid w:val="00127A8E"/>
    <w:rsid w:val="001370A4"/>
    <w:rsid w:val="00140ADE"/>
    <w:rsid w:val="0014273A"/>
    <w:rsid w:val="00151675"/>
    <w:rsid w:val="00153E5E"/>
    <w:rsid w:val="00156AFC"/>
    <w:rsid w:val="001613B7"/>
    <w:rsid w:val="001645A1"/>
    <w:rsid w:val="00164C70"/>
    <w:rsid w:val="00166F90"/>
    <w:rsid w:val="00173CE6"/>
    <w:rsid w:val="00184D64"/>
    <w:rsid w:val="001936DC"/>
    <w:rsid w:val="00194F4C"/>
    <w:rsid w:val="001A6FA5"/>
    <w:rsid w:val="001B13CD"/>
    <w:rsid w:val="001C1C26"/>
    <w:rsid w:val="001D18F0"/>
    <w:rsid w:val="001D5DF4"/>
    <w:rsid w:val="001E17AB"/>
    <w:rsid w:val="001E35AB"/>
    <w:rsid w:val="001F0B85"/>
    <w:rsid w:val="001F0D2F"/>
    <w:rsid w:val="002025E5"/>
    <w:rsid w:val="00214303"/>
    <w:rsid w:val="00220751"/>
    <w:rsid w:val="00226F27"/>
    <w:rsid w:val="00230F22"/>
    <w:rsid w:val="00234A4F"/>
    <w:rsid w:val="002417F7"/>
    <w:rsid w:val="00245250"/>
    <w:rsid w:val="00256ED8"/>
    <w:rsid w:val="00261A48"/>
    <w:rsid w:val="00267FDD"/>
    <w:rsid w:val="00276860"/>
    <w:rsid w:val="00280BBA"/>
    <w:rsid w:val="002952A1"/>
    <w:rsid w:val="00296A85"/>
    <w:rsid w:val="002B7DDE"/>
    <w:rsid w:val="002C2663"/>
    <w:rsid w:val="002C6902"/>
    <w:rsid w:val="002D27E5"/>
    <w:rsid w:val="002E74A6"/>
    <w:rsid w:val="002E75D5"/>
    <w:rsid w:val="002E7811"/>
    <w:rsid w:val="002F21CA"/>
    <w:rsid w:val="002F4585"/>
    <w:rsid w:val="003073A0"/>
    <w:rsid w:val="00310D5E"/>
    <w:rsid w:val="00315D6E"/>
    <w:rsid w:val="00326310"/>
    <w:rsid w:val="00332D6D"/>
    <w:rsid w:val="00346AAC"/>
    <w:rsid w:val="003525C6"/>
    <w:rsid w:val="003572BC"/>
    <w:rsid w:val="003718AF"/>
    <w:rsid w:val="0037678D"/>
    <w:rsid w:val="00387200"/>
    <w:rsid w:val="00391843"/>
    <w:rsid w:val="00396B4D"/>
    <w:rsid w:val="00397FD4"/>
    <w:rsid w:val="003A5897"/>
    <w:rsid w:val="003A7DE3"/>
    <w:rsid w:val="003C46A7"/>
    <w:rsid w:val="003E6685"/>
    <w:rsid w:val="003F0694"/>
    <w:rsid w:val="003F2107"/>
    <w:rsid w:val="003F34D0"/>
    <w:rsid w:val="00403BBE"/>
    <w:rsid w:val="00405535"/>
    <w:rsid w:val="0041033A"/>
    <w:rsid w:val="00413CFD"/>
    <w:rsid w:val="00416B63"/>
    <w:rsid w:val="00421A93"/>
    <w:rsid w:val="00423493"/>
    <w:rsid w:val="00425C33"/>
    <w:rsid w:val="00433246"/>
    <w:rsid w:val="0043613E"/>
    <w:rsid w:val="00463251"/>
    <w:rsid w:val="00465B67"/>
    <w:rsid w:val="00466E10"/>
    <w:rsid w:val="00482C37"/>
    <w:rsid w:val="004842E7"/>
    <w:rsid w:val="004A5333"/>
    <w:rsid w:val="004C4C0B"/>
    <w:rsid w:val="004C66BC"/>
    <w:rsid w:val="004D2097"/>
    <w:rsid w:val="004D2DDE"/>
    <w:rsid w:val="004D44AC"/>
    <w:rsid w:val="004E4C8A"/>
    <w:rsid w:val="004E5BC1"/>
    <w:rsid w:val="004F11F0"/>
    <w:rsid w:val="0050154D"/>
    <w:rsid w:val="00502391"/>
    <w:rsid w:val="005168AC"/>
    <w:rsid w:val="0051699C"/>
    <w:rsid w:val="00524FB0"/>
    <w:rsid w:val="00527F10"/>
    <w:rsid w:val="00532101"/>
    <w:rsid w:val="005330D0"/>
    <w:rsid w:val="00536295"/>
    <w:rsid w:val="00546505"/>
    <w:rsid w:val="00551289"/>
    <w:rsid w:val="0055466C"/>
    <w:rsid w:val="005553B2"/>
    <w:rsid w:val="00570948"/>
    <w:rsid w:val="005744AC"/>
    <w:rsid w:val="00575E0C"/>
    <w:rsid w:val="00581FD9"/>
    <w:rsid w:val="00582EB2"/>
    <w:rsid w:val="005A0BB1"/>
    <w:rsid w:val="005A41C8"/>
    <w:rsid w:val="005A4D27"/>
    <w:rsid w:val="005B532A"/>
    <w:rsid w:val="005B5380"/>
    <w:rsid w:val="005C6B3B"/>
    <w:rsid w:val="005D0069"/>
    <w:rsid w:val="005D4990"/>
    <w:rsid w:val="005D5A5F"/>
    <w:rsid w:val="005E3F38"/>
    <w:rsid w:val="005F0BEC"/>
    <w:rsid w:val="006007B4"/>
    <w:rsid w:val="00601AA7"/>
    <w:rsid w:val="00605505"/>
    <w:rsid w:val="00605E64"/>
    <w:rsid w:val="006113E2"/>
    <w:rsid w:val="0061300F"/>
    <w:rsid w:val="0061471B"/>
    <w:rsid w:val="00627CE6"/>
    <w:rsid w:val="006312E3"/>
    <w:rsid w:val="00632B9D"/>
    <w:rsid w:val="00641777"/>
    <w:rsid w:val="006446D4"/>
    <w:rsid w:val="006449A7"/>
    <w:rsid w:val="00646788"/>
    <w:rsid w:val="00646C9B"/>
    <w:rsid w:val="0065218C"/>
    <w:rsid w:val="00663FDC"/>
    <w:rsid w:val="0066792E"/>
    <w:rsid w:val="00670F90"/>
    <w:rsid w:val="00676DE0"/>
    <w:rsid w:val="00681AA4"/>
    <w:rsid w:val="00682306"/>
    <w:rsid w:val="006849CF"/>
    <w:rsid w:val="0069264B"/>
    <w:rsid w:val="0069476B"/>
    <w:rsid w:val="00694860"/>
    <w:rsid w:val="0069531C"/>
    <w:rsid w:val="006A04E2"/>
    <w:rsid w:val="006A46D7"/>
    <w:rsid w:val="006B2459"/>
    <w:rsid w:val="006B4D9C"/>
    <w:rsid w:val="006C0C3C"/>
    <w:rsid w:val="006D4BE0"/>
    <w:rsid w:val="006E4F02"/>
    <w:rsid w:val="006E7101"/>
    <w:rsid w:val="006F144E"/>
    <w:rsid w:val="006F4257"/>
    <w:rsid w:val="007000A9"/>
    <w:rsid w:val="00705196"/>
    <w:rsid w:val="00712D30"/>
    <w:rsid w:val="007245AC"/>
    <w:rsid w:val="00732ECF"/>
    <w:rsid w:val="007467AA"/>
    <w:rsid w:val="0075015C"/>
    <w:rsid w:val="00755167"/>
    <w:rsid w:val="00772762"/>
    <w:rsid w:val="007759B5"/>
    <w:rsid w:val="00776E4E"/>
    <w:rsid w:val="00780215"/>
    <w:rsid w:val="00781AD8"/>
    <w:rsid w:val="00782844"/>
    <w:rsid w:val="0078509B"/>
    <w:rsid w:val="0078793B"/>
    <w:rsid w:val="00794F1F"/>
    <w:rsid w:val="007A1851"/>
    <w:rsid w:val="007B6087"/>
    <w:rsid w:val="007B664C"/>
    <w:rsid w:val="007C268D"/>
    <w:rsid w:val="007C49E3"/>
    <w:rsid w:val="007D0ABF"/>
    <w:rsid w:val="007D5A3C"/>
    <w:rsid w:val="007E5E0A"/>
    <w:rsid w:val="007E69C9"/>
    <w:rsid w:val="007F5C18"/>
    <w:rsid w:val="00804302"/>
    <w:rsid w:val="00805FAE"/>
    <w:rsid w:val="0081195B"/>
    <w:rsid w:val="00830C7D"/>
    <w:rsid w:val="00832A86"/>
    <w:rsid w:val="008353BB"/>
    <w:rsid w:val="00836FA4"/>
    <w:rsid w:val="00845DD2"/>
    <w:rsid w:val="00847223"/>
    <w:rsid w:val="00847273"/>
    <w:rsid w:val="0085149C"/>
    <w:rsid w:val="008553C0"/>
    <w:rsid w:val="00855B97"/>
    <w:rsid w:val="0085728F"/>
    <w:rsid w:val="00862515"/>
    <w:rsid w:val="008627CD"/>
    <w:rsid w:val="008737F1"/>
    <w:rsid w:val="008855F1"/>
    <w:rsid w:val="008862D0"/>
    <w:rsid w:val="008A022A"/>
    <w:rsid w:val="008A5007"/>
    <w:rsid w:val="008A6B93"/>
    <w:rsid w:val="008C5922"/>
    <w:rsid w:val="008C7A0E"/>
    <w:rsid w:val="008D0687"/>
    <w:rsid w:val="008D08E7"/>
    <w:rsid w:val="008D51C9"/>
    <w:rsid w:val="008E5057"/>
    <w:rsid w:val="008F5629"/>
    <w:rsid w:val="00901826"/>
    <w:rsid w:val="00915C36"/>
    <w:rsid w:val="00926710"/>
    <w:rsid w:val="00927299"/>
    <w:rsid w:val="009321E5"/>
    <w:rsid w:val="00945687"/>
    <w:rsid w:val="009508BF"/>
    <w:rsid w:val="00952D9B"/>
    <w:rsid w:val="00953585"/>
    <w:rsid w:val="009555D1"/>
    <w:rsid w:val="009640C0"/>
    <w:rsid w:val="009751EA"/>
    <w:rsid w:val="0097611E"/>
    <w:rsid w:val="009C78A3"/>
    <w:rsid w:val="009D1137"/>
    <w:rsid w:val="009D2633"/>
    <w:rsid w:val="009D3911"/>
    <w:rsid w:val="009D4010"/>
    <w:rsid w:val="009D7414"/>
    <w:rsid w:val="009E269D"/>
    <w:rsid w:val="009E26CC"/>
    <w:rsid w:val="009E3E2F"/>
    <w:rsid w:val="00A01E1A"/>
    <w:rsid w:val="00A02EEC"/>
    <w:rsid w:val="00A04310"/>
    <w:rsid w:val="00A05409"/>
    <w:rsid w:val="00A112EC"/>
    <w:rsid w:val="00A24571"/>
    <w:rsid w:val="00A26CAA"/>
    <w:rsid w:val="00A31C83"/>
    <w:rsid w:val="00A4022D"/>
    <w:rsid w:val="00A409FC"/>
    <w:rsid w:val="00A42095"/>
    <w:rsid w:val="00A4399C"/>
    <w:rsid w:val="00A50946"/>
    <w:rsid w:val="00A525D9"/>
    <w:rsid w:val="00A57B37"/>
    <w:rsid w:val="00A62BCB"/>
    <w:rsid w:val="00A653D1"/>
    <w:rsid w:val="00A65855"/>
    <w:rsid w:val="00A66035"/>
    <w:rsid w:val="00A72AB8"/>
    <w:rsid w:val="00A86074"/>
    <w:rsid w:val="00A860CF"/>
    <w:rsid w:val="00A905DE"/>
    <w:rsid w:val="00A93DE0"/>
    <w:rsid w:val="00AA1801"/>
    <w:rsid w:val="00AA1F3B"/>
    <w:rsid w:val="00AB3B66"/>
    <w:rsid w:val="00AC372B"/>
    <w:rsid w:val="00AD0982"/>
    <w:rsid w:val="00AD18A7"/>
    <w:rsid w:val="00AD4181"/>
    <w:rsid w:val="00AE2F97"/>
    <w:rsid w:val="00AE7E04"/>
    <w:rsid w:val="00AF76AD"/>
    <w:rsid w:val="00B025BE"/>
    <w:rsid w:val="00B14E3E"/>
    <w:rsid w:val="00B230E3"/>
    <w:rsid w:val="00B331BE"/>
    <w:rsid w:val="00B361D0"/>
    <w:rsid w:val="00B47F5E"/>
    <w:rsid w:val="00B57B3C"/>
    <w:rsid w:val="00B634CD"/>
    <w:rsid w:val="00B6756A"/>
    <w:rsid w:val="00B67876"/>
    <w:rsid w:val="00B8398B"/>
    <w:rsid w:val="00B850AF"/>
    <w:rsid w:val="00BB25C7"/>
    <w:rsid w:val="00BC3D4D"/>
    <w:rsid w:val="00BC4C84"/>
    <w:rsid w:val="00BE5859"/>
    <w:rsid w:val="00BF1D02"/>
    <w:rsid w:val="00C314B6"/>
    <w:rsid w:val="00C33333"/>
    <w:rsid w:val="00C33E93"/>
    <w:rsid w:val="00C61733"/>
    <w:rsid w:val="00C63438"/>
    <w:rsid w:val="00C66FCE"/>
    <w:rsid w:val="00C72C19"/>
    <w:rsid w:val="00C7784D"/>
    <w:rsid w:val="00C80AEA"/>
    <w:rsid w:val="00C82D19"/>
    <w:rsid w:val="00C90274"/>
    <w:rsid w:val="00C94438"/>
    <w:rsid w:val="00C9605E"/>
    <w:rsid w:val="00CA745D"/>
    <w:rsid w:val="00CA758F"/>
    <w:rsid w:val="00CB0D5D"/>
    <w:rsid w:val="00CB1B4D"/>
    <w:rsid w:val="00CB5384"/>
    <w:rsid w:val="00CC6A60"/>
    <w:rsid w:val="00CC6E71"/>
    <w:rsid w:val="00CD3D2A"/>
    <w:rsid w:val="00CD3E8F"/>
    <w:rsid w:val="00CF21C1"/>
    <w:rsid w:val="00CF36F8"/>
    <w:rsid w:val="00D12ACD"/>
    <w:rsid w:val="00D13FBA"/>
    <w:rsid w:val="00D27D45"/>
    <w:rsid w:val="00D27F18"/>
    <w:rsid w:val="00D307D9"/>
    <w:rsid w:val="00D30C05"/>
    <w:rsid w:val="00D32F34"/>
    <w:rsid w:val="00D36905"/>
    <w:rsid w:val="00D51B96"/>
    <w:rsid w:val="00D53A8B"/>
    <w:rsid w:val="00D610A9"/>
    <w:rsid w:val="00D76E21"/>
    <w:rsid w:val="00D818F8"/>
    <w:rsid w:val="00D8474A"/>
    <w:rsid w:val="00D852A2"/>
    <w:rsid w:val="00D95A4C"/>
    <w:rsid w:val="00D96168"/>
    <w:rsid w:val="00DB4ACF"/>
    <w:rsid w:val="00DC2673"/>
    <w:rsid w:val="00DC4418"/>
    <w:rsid w:val="00DC68E0"/>
    <w:rsid w:val="00DD741F"/>
    <w:rsid w:val="00DE63ED"/>
    <w:rsid w:val="00DF038F"/>
    <w:rsid w:val="00DF0EBF"/>
    <w:rsid w:val="00DF309C"/>
    <w:rsid w:val="00DF48F3"/>
    <w:rsid w:val="00DF5EF8"/>
    <w:rsid w:val="00E03A0B"/>
    <w:rsid w:val="00E04BC0"/>
    <w:rsid w:val="00E06EC7"/>
    <w:rsid w:val="00E07550"/>
    <w:rsid w:val="00E129CE"/>
    <w:rsid w:val="00E14B57"/>
    <w:rsid w:val="00E21847"/>
    <w:rsid w:val="00E21CBC"/>
    <w:rsid w:val="00E245C4"/>
    <w:rsid w:val="00E252AA"/>
    <w:rsid w:val="00E2561F"/>
    <w:rsid w:val="00E27893"/>
    <w:rsid w:val="00E27AEE"/>
    <w:rsid w:val="00E42826"/>
    <w:rsid w:val="00E42979"/>
    <w:rsid w:val="00E44343"/>
    <w:rsid w:val="00E44863"/>
    <w:rsid w:val="00E44F13"/>
    <w:rsid w:val="00E577B2"/>
    <w:rsid w:val="00E6159C"/>
    <w:rsid w:val="00E61D83"/>
    <w:rsid w:val="00E633BA"/>
    <w:rsid w:val="00E63B69"/>
    <w:rsid w:val="00E70CE9"/>
    <w:rsid w:val="00E71EFA"/>
    <w:rsid w:val="00E80856"/>
    <w:rsid w:val="00E82D68"/>
    <w:rsid w:val="00E841F5"/>
    <w:rsid w:val="00E94519"/>
    <w:rsid w:val="00E94AE1"/>
    <w:rsid w:val="00E95FC2"/>
    <w:rsid w:val="00EA13A6"/>
    <w:rsid w:val="00EA1675"/>
    <w:rsid w:val="00EA60FA"/>
    <w:rsid w:val="00EB0210"/>
    <w:rsid w:val="00EB12CE"/>
    <w:rsid w:val="00EB3EDD"/>
    <w:rsid w:val="00EB61A9"/>
    <w:rsid w:val="00EC44F7"/>
    <w:rsid w:val="00ED07E7"/>
    <w:rsid w:val="00ED2886"/>
    <w:rsid w:val="00ED393F"/>
    <w:rsid w:val="00ED5E8B"/>
    <w:rsid w:val="00EE27F3"/>
    <w:rsid w:val="00EE35FF"/>
    <w:rsid w:val="00EF75AF"/>
    <w:rsid w:val="00F117CC"/>
    <w:rsid w:val="00F12C0A"/>
    <w:rsid w:val="00F159AB"/>
    <w:rsid w:val="00F1715A"/>
    <w:rsid w:val="00F33420"/>
    <w:rsid w:val="00F346F6"/>
    <w:rsid w:val="00F356E7"/>
    <w:rsid w:val="00F36513"/>
    <w:rsid w:val="00F3798A"/>
    <w:rsid w:val="00F46721"/>
    <w:rsid w:val="00F50FD2"/>
    <w:rsid w:val="00F52F2C"/>
    <w:rsid w:val="00F62DBB"/>
    <w:rsid w:val="00F63F3E"/>
    <w:rsid w:val="00F90979"/>
    <w:rsid w:val="00F9374B"/>
    <w:rsid w:val="00F96863"/>
    <w:rsid w:val="00FA667D"/>
    <w:rsid w:val="00FB29C0"/>
    <w:rsid w:val="00FC0653"/>
    <w:rsid w:val="00FC5BE9"/>
    <w:rsid w:val="00FD2009"/>
    <w:rsid w:val="00FD5B36"/>
    <w:rsid w:val="00FE7222"/>
    <w:rsid w:val="00FF19B2"/>
    <w:rsid w:val="00FF6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193607"/>
  <w15:chartTrackingRefBased/>
  <w15:docId w15:val="{C432B99A-6514-478B-8054-DB3EB585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75015C"/>
    <w:pPr>
      <w:numPr>
        <w:numId w:val="16"/>
      </w:numPr>
      <w:ind w:left="284" w:hanging="425"/>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826"/>
    <w:pPr>
      <w:spacing w:after="200" w:line="276" w:lineRule="auto"/>
      <w:ind w:left="720"/>
      <w:contextualSpacing/>
    </w:pPr>
  </w:style>
  <w:style w:type="paragraph" w:styleId="BodyText">
    <w:name w:val="Body Text"/>
    <w:basedOn w:val="Normal"/>
    <w:link w:val="BodyTextChar"/>
    <w:uiPriority w:val="1"/>
    <w:qFormat/>
    <w:rsid w:val="00901826"/>
    <w:pPr>
      <w:widowControl w:val="0"/>
      <w:spacing w:after="0" w:line="240" w:lineRule="auto"/>
      <w:ind w:left="1200"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901826"/>
    <w:rPr>
      <w:rFonts w:ascii="Arial" w:eastAsia="Arial" w:hAnsi="Arial"/>
      <w:sz w:val="24"/>
      <w:szCs w:val="24"/>
      <w:lang w:val="en-US"/>
    </w:rPr>
  </w:style>
  <w:style w:type="table" w:styleId="TableGrid">
    <w:name w:val="Table Grid"/>
    <w:basedOn w:val="TableNormal"/>
    <w:uiPriority w:val="39"/>
    <w:rsid w:val="0090182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1826"/>
    <w:pPr>
      <w:spacing w:after="0" w:line="240"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C31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4B6"/>
  </w:style>
  <w:style w:type="paragraph" w:styleId="Footer">
    <w:name w:val="footer"/>
    <w:basedOn w:val="Normal"/>
    <w:link w:val="FooterChar"/>
    <w:uiPriority w:val="99"/>
    <w:unhideWhenUsed/>
    <w:rsid w:val="00C31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4B6"/>
  </w:style>
  <w:style w:type="character" w:styleId="Hyperlink">
    <w:name w:val="Hyperlink"/>
    <w:basedOn w:val="DefaultParagraphFont"/>
    <w:uiPriority w:val="99"/>
    <w:unhideWhenUsed/>
    <w:rsid w:val="000D6E13"/>
    <w:rPr>
      <w:color w:val="0563C1" w:themeColor="hyperlink"/>
      <w:u w:val="single"/>
    </w:rPr>
  </w:style>
  <w:style w:type="paragraph" w:styleId="FootnoteText">
    <w:name w:val="footnote text"/>
    <w:basedOn w:val="Normal"/>
    <w:link w:val="FootnoteTextChar"/>
    <w:uiPriority w:val="99"/>
    <w:semiHidden/>
    <w:unhideWhenUsed/>
    <w:rsid w:val="000D6E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E13"/>
    <w:rPr>
      <w:sz w:val="20"/>
      <w:szCs w:val="20"/>
    </w:rPr>
  </w:style>
  <w:style w:type="character" w:styleId="FootnoteReference">
    <w:name w:val="footnote reference"/>
    <w:basedOn w:val="DefaultParagraphFont"/>
    <w:unhideWhenUsed/>
    <w:rsid w:val="000D6E13"/>
    <w:rPr>
      <w:vertAlign w:val="superscript"/>
    </w:rPr>
  </w:style>
  <w:style w:type="character" w:styleId="CommentReference">
    <w:name w:val="annotation reference"/>
    <w:basedOn w:val="DefaultParagraphFont"/>
    <w:uiPriority w:val="99"/>
    <w:semiHidden/>
    <w:unhideWhenUsed/>
    <w:rsid w:val="00CA745D"/>
    <w:rPr>
      <w:sz w:val="16"/>
      <w:szCs w:val="16"/>
    </w:rPr>
  </w:style>
  <w:style w:type="paragraph" w:styleId="CommentText">
    <w:name w:val="annotation text"/>
    <w:basedOn w:val="Normal"/>
    <w:link w:val="CommentTextChar"/>
    <w:uiPriority w:val="99"/>
    <w:semiHidden/>
    <w:unhideWhenUsed/>
    <w:rsid w:val="00CA745D"/>
    <w:pPr>
      <w:spacing w:line="240" w:lineRule="auto"/>
    </w:pPr>
    <w:rPr>
      <w:sz w:val="20"/>
      <w:szCs w:val="20"/>
    </w:rPr>
  </w:style>
  <w:style w:type="character" w:customStyle="1" w:styleId="CommentTextChar">
    <w:name w:val="Comment Text Char"/>
    <w:basedOn w:val="DefaultParagraphFont"/>
    <w:link w:val="CommentText"/>
    <w:uiPriority w:val="99"/>
    <w:semiHidden/>
    <w:rsid w:val="00CA745D"/>
    <w:rPr>
      <w:sz w:val="20"/>
      <w:szCs w:val="20"/>
    </w:rPr>
  </w:style>
  <w:style w:type="paragraph" w:styleId="CommentSubject">
    <w:name w:val="annotation subject"/>
    <w:basedOn w:val="CommentText"/>
    <w:next w:val="CommentText"/>
    <w:link w:val="CommentSubjectChar"/>
    <w:uiPriority w:val="99"/>
    <w:semiHidden/>
    <w:unhideWhenUsed/>
    <w:rsid w:val="00CA745D"/>
    <w:rPr>
      <w:b/>
      <w:bCs/>
    </w:rPr>
  </w:style>
  <w:style w:type="character" w:customStyle="1" w:styleId="CommentSubjectChar">
    <w:name w:val="Comment Subject Char"/>
    <w:basedOn w:val="CommentTextChar"/>
    <w:link w:val="CommentSubject"/>
    <w:uiPriority w:val="99"/>
    <w:semiHidden/>
    <w:rsid w:val="00CA745D"/>
    <w:rPr>
      <w:b/>
      <w:bCs/>
      <w:sz w:val="20"/>
      <w:szCs w:val="20"/>
    </w:rPr>
  </w:style>
  <w:style w:type="paragraph" w:styleId="BalloonText">
    <w:name w:val="Balloon Text"/>
    <w:basedOn w:val="Normal"/>
    <w:link w:val="BalloonTextChar"/>
    <w:uiPriority w:val="99"/>
    <w:semiHidden/>
    <w:unhideWhenUsed/>
    <w:rsid w:val="00CA7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5D"/>
    <w:rPr>
      <w:rFonts w:ascii="Segoe UI" w:hAnsi="Segoe UI" w:cs="Segoe UI"/>
      <w:sz w:val="18"/>
      <w:szCs w:val="18"/>
    </w:rPr>
  </w:style>
  <w:style w:type="character" w:styleId="FollowedHyperlink">
    <w:name w:val="FollowedHyperlink"/>
    <w:basedOn w:val="DefaultParagraphFont"/>
    <w:uiPriority w:val="99"/>
    <w:semiHidden/>
    <w:unhideWhenUsed/>
    <w:rsid w:val="00B57B3C"/>
    <w:rPr>
      <w:color w:val="954F72" w:themeColor="followedHyperlink"/>
      <w:u w:val="single"/>
    </w:rPr>
  </w:style>
  <w:style w:type="character" w:customStyle="1" w:styleId="normaltextrun">
    <w:name w:val="normaltextrun"/>
    <w:basedOn w:val="DefaultParagraphFont"/>
    <w:rsid w:val="00E44863"/>
  </w:style>
  <w:style w:type="character" w:customStyle="1" w:styleId="contextualspellingandgrammarerror">
    <w:name w:val="contextualspellingandgrammarerror"/>
    <w:basedOn w:val="DefaultParagraphFont"/>
    <w:rsid w:val="00E44863"/>
  </w:style>
  <w:style w:type="paragraph" w:styleId="Revision">
    <w:name w:val="Revision"/>
    <w:hidden/>
    <w:uiPriority w:val="99"/>
    <w:semiHidden/>
    <w:rsid w:val="00E129CE"/>
    <w:pPr>
      <w:spacing w:after="0" w:line="240" w:lineRule="auto"/>
    </w:pPr>
  </w:style>
  <w:style w:type="character" w:customStyle="1" w:styleId="Heading1Char">
    <w:name w:val="Heading 1 Char"/>
    <w:basedOn w:val="DefaultParagraphFont"/>
    <w:link w:val="Heading1"/>
    <w:uiPriority w:val="9"/>
    <w:rsid w:val="0075015C"/>
    <w:rPr>
      <w:rFonts w:ascii="Arial" w:eastAsia="Times New Roman" w:hAnsi="Arial" w:cs="Arial"/>
      <w:b/>
      <w:sz w:val="24"/>
      <w:szCs w:val="24"/>
      <w:lang w:eastAsia="en-GB"/>
    </w:rPr>
  </w:style>
  <w:style w:type="paragraph" w:styleId="TOCHeading">
    <w:name w:val="TOC Heading"/>
    <w:basedOn w:val="Heading1"/>
    <w:next w:val="Normal"/>
    <w:uiPriority w:val="39"/>
    <w:unhideWhenUsed/>
    <w:qFormat/>
    <w:rsid w:val="0075015C"/>
    <w:pPr>
      <w:outlineLvl w:val="9"/>
    </w:pPr>
    <w:rPr>
      <w:lang w:val="en-US"/>
    </w:rPr>
  </w:style>
  <w:style w:type="paragraph" w:styleId="TOC1">
    <w:name w:val="toc 1"/>
    <w:basedOn w:val="Normal"/>
    <w:next w:val="Normal"/>
    <w:autoRedefine/>
    <w:uiPriority w:val="39"/>
    <w:unhideWhenUsed/>
    <w:rsid w:val="0075015C"/>
    <w:pPr>
      <w:spacing w:after="100"/>
    </w:pPr>
  </w:style>
  <w:style w:type="paragraph" w:styleId="TOC3">
    <w:name w:val="toc 3"/>
    <w:basedOn w:val="Normal"/>
    <w:next w:val="Normal"/>
    <w:autoRedefine/>
    <w:uiPriority w:val="39"/>
    <w:unhideWhenUsed/>
    <w:rsid w:val="0075015C"/>
    <w:pPr>
      <w:spacing w:after="100"/>
      <w:ind w:left="440"/>
    </w:pPr>
  </w:style>
  <w:style w:type="character" w:styleId="UnresolvedMention">
    <w:name w:val="Unresolved Mention"/>
    <w:basedOn w:val="DefaultParagraphFont"/>
    <w:uiPriority w:val="99"/>
    <w:semiHidden/>
    <w:unhideWhenUsed/>
    <w:rsid w:val="00326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9219">
      <w:bodyDiv w:val="1"/>
      <w:marLeft w:val="0"/>
      <w:marRight w:val="0"/>
      <w:marTop w:val="0"/>
      <w:marBottom w:val="0"/>
      <w:divBdr>
        <w:top w:val="none" w:sz="0" w:space="0" w:color="auto"/>
        <w:left w:val="none" w:sz="0" w:space="0" w:color="auto"/>
        <w:bottom w:val="none" w:sz="0" w:space="0" w:color="auto"/>
        <w:right w:val="none" w:sz="0" w:space="0" w:color="auto"/>
      </w:divBdr>
    </w:div>
    <w:div w:id="1671715569">
      <w:bodyDiv w:val="1"/>
      <w:marLeft w:val="0"/>
      <w:marRight w:val="0"/>
      <w:marTop w:val="0"/>
      <w:marBottom w:val="0"/>
      <w:divBdr>
        <w:top w:val="none" w:sz="0" w:space="0" w:color="auto"/>
        <w:left w:val="none" w:sz="0" w:space="0" w:color="auto"/>
        <w:bottom w:val="none" w:sz="0" w:space="0" w:color="auto"/>
        <w:right w:val="none" w:sz="0" w:space="0" w:color="auto"/>
      </w:divBdr>
    </w:div>
    <w:div w:id="18398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cpractice.camden.gov.uk/what-matters-to-people/advocacy/referral-process/" TargetMode="External"/><Relationship Id="rId18" Type="http://schemas.openxmlformats.org/officeDocument/2006/relationships/hyperlink" Target="http://www.guardianship.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ascpractice.camden.gov.uk/connecting-people-to-support/housing-matters/tenancies/starting-a-tenancy/" TargetMode="External"/><Relationship Id="rId17" Type="http://schemas.openxmlformats.org/officeDocument/2006/relationships/hyperlink" Target="https://www.legislation.gov.uk/ukpga/2005/9/cont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2014/23/contents/enacted"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den.gov.uk/about-your-tenancy"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ngland.shelter.org.uk/housing_advice/housing_benefit/housing_benefit_while_away_from_home"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rtofprotectionenquiries@hmcts.gsi.gov.uk" TargetMode="Externa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D5B5E-C2A9-4849-81C9-B3893EB3A43A}"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E8DF5891-8602-4C65-BEB2-AC82892BA435}">
      <dgm:prSet phldrT="[Text]" custT="1"/>
      <dgm:spPr>
        <a:ln>
          <a:solidFill>
            <a:schemeClr val="accent1">
              <a:lumMod val="75000"/>
            </a:schemeClr>
          </a:solidFill>
        </a:ln>
      </dgm:spPr>
      <dgm:t>
        <a:bodyPr/>
        <a:lstStyle/>
        <a:p>
          <a:r>
            <a:rPr lang="en-US" sz="900">
              <a:latin typeface="Arial" panose="020B0604020202020204" pitchFamily="34" charset="0"/>
              <a:cs typeface="Arial" panose="020B0604020202020204" pitchFamily="34" charset="0"/>
            </a:rPr>
            <a:t>Mental Capacity Assessment is completed for decisions related to whether the person can make a decision to sign or terminate their tenancy</a:t>
          </a:r>
        </a:p>
      </dgm:t>
    </dgm:pt>
    <dgm:pt modelId="{949218F4-391D-4CF0-8A3F-FD7167AF1CF0}" type="parTrans" cxnId="{E2084CB6-B97E-442A-A415-2D125174A3AF}">
      <dgm:prSet/>
      <dgm:spPr/>
      <dgm:t>
        <a:bodyPr/>
        <a:lstStyle/>
        <a:p>
          <a:endParaRPr lang="en-US" sz="900">
            <a:latin typeface="Arial" panose="020B0604020202020204" pitchFamily="34" charset="0"/>
            <a:cs typeface="Arial" panose="020B0604020202020204" pitchFamily="34" charset="0"/>
          </a:endParaRPr>
        </a:p>
      </dgm:t>
    </dgm:pt>
    <dgm:pt modelId="{A17E0160-0657-4473-B786-4894DC3725A3}" type="sibTrans" cxnId="{E2084CB6-B97E-442A-A415-2D125174A3AF}">
      <dgm:prSet/>
      <dgm:spPr/>
      <dgm:t>
        <a:bodyPr/>
        <a:lstStyle/>
        <a:p>
          <a:endParaRPr lang="en-US" sz="900">
            <a:latin typeface="Arial" panose="020B0604020202020204" pitchFamily="34" charset="0"/>
            <a:cs typeface="Arial" panose="020B0604020202020204" pitchFamily="34" charset="0"/>
          </a:endParaRPr>
        </a:p>
      </dgm:t>
    </dgm:pt>
    <dgm:pt modelId="{DD291B2E-BE7F-4D57-8564-C5CFA1940DE1}">
      <dgm:prSet phldrT="[Text]" custT="1"/>
      <dgm:spPr>
        <a:ln>
          <a:solidFill>
            <a:schemeClr val="accent1">
              <a:lumMod val="75000"/>
            </a:schemeClr>
          </a:solidFill>
        </a:ln>
      </dgm:spPr>
      <dgm:t>
        <a:bodyPr/>
        <a:lstStyle/>
        <a:p>
          <a:r>
            <a:rPr lang="en-US" sz="900">
              <a:latin typeface="Arial" panose="020B0604020202020204" pitchFamily="34" charset="0"/>
              <a:cs typeface="Arial" panose="020B0604020202020204" pitchFamily="34" charset="0"/>
            </a:rPr>
            <a:t>Best interests meeting is conducted and outcome clearly identifies actions relating to decision on tenancy</a:t>
          </a:r>
        </a:p>
      </dgm:t>
    </dgm:pt>
    <dgm:pt modelId="{CD76E3D3-5338-41FF-8A72-31097D0F5C86}" type="parTrans" cxnId="{B9F45BAF-EDDD-4C39-B17F-0C830BDCDB4B}">
      <dgm:prSet/>
      <dgm:spPr/>
      <dgm:t>
        <a:bodyPr/>
        <a:lstStyle/>
        <a:p>
          <a:endParaRPr lang="en-US" sz="900">
            <a:latin typeface="Arial" panose="020B0604020202020204" pitchFamily="34" charset="0"/>
            <a:cs typeface="Arial" panose="020B0604020202020204" pitchFamily="34" charset="0"/>
          </a:endParaRPr>
        </a:p>
      </dgm:t>
    </dgm:pt>
    <dgm:pt modelId="{6C53CFAE-907D-47D7-85C5-2773510F7F15}" type="sibTrans" cxnId="{B9F45BAF-EDDD-4C39-B17F-0C830BDCDB4B}">
      <dgm:prSet/>
      <dgm:spPr/>
      <dgm:t>
        <a:bodyPr/>
        <a:lstStyle/>
        <a:p>
          <a:endParaRPr lang="en-US" sz="900">
            <a:latin typeface="Arial" panose="020B0604020202020204" pitchFamily="34" charset="0"/>
            <a:cs typeface="Arial" panose="020B0604020202020204" pitchFamily="34" charset="0"/>
          </a:endParaRPr>
        </a:p>
      </dgm:t>
    </dgm:pt>
    <dgm:pt modelId="{B770CAB3-FB8B-4F75-8CBD-02EE45DE3714}">
      <dgm:prSet phldrT="[Text]" custT="1"/>
      <dgm:spPr>
        <a:ln>
          <a:solidFill>
            <a:schemeClr val="accent1">
              <a:lumMod val="75000"/>
            </a:schemeClr>
          </a:solidFill>
        </a:ln>
      </dgm:spPr>
      <dgm:t>
        <a:bodyPr/>
        <a:lstStyle/>
        <a:p>
          <a:r>
            <a:rPr lang="en-US" sz="900">
              <a:latin typeface="Arial" panose="020B0604020202020204" pitchFamily="34" charset="0"/>
              <a:cs typeface="Arial" panose="020B0604020202020204" pitchFamily="34" charset="0"/>
            </a:rPr>
            <a:t>If person has - a registered lasting power of attorney (LPA) or enduring power of attorney (EPA) or someone else authorised to sign by the CoP, </a:t>
          </a:r>
          <a:r>
            <a:rPr lang="en-US" sz="900">
              <a:solidFill>
                <a:schemeClr val="bg1"/>
              </a:solidFill>
              <a:latin typeface="Arial" panose="020B0604020202020204" pitchFamily="34" charset="0"/>
              <a:cs typeface="Arial" panose="020B0604020202020204" pitchFamily="34" charset="0"/>
            </a:rPr>
            <a:t>check</a:t>
          </a:r>
          <a:r>
            <a:rPr lang="en-US" sz="900">
              <a:latin typeface="Arial" panose="020B0604020202020204" pitchFamily="34" charset="0"/>
              <a:cs typeface="Arial" panose="020B0604020202020204" pitchFamily="34" charset="0"/>
            </a:rPr>
            <a:t> they can sign and end the tenancy. A deputy appointed by the court of protection may be able to sign to end the tenancy, however, please liaise with the person holding the deputy order for the best course of action</a:t>
          </a:r>
        </a:p>
      </dgm:t>
    </dgm:pt>
    <dgm:pt modelId="{948690B6-89B9-4BB3-B451-5FB7F5F2D143}" type="parTrans" cxnId="{99B85E91-29A2-4042-86CF-A20EBF102182}">
      <dgm:prSet/>
      <dgm:spPr/>
      <dgm:t>
        <a:bodyPr/>
        <a:lstStyle/>
        <a:p>
          <a:endParaRPr lang="en-US" sz="900">
            <a:latin typeface="Arial" panose="020B0604020202020204" pitchFamily="34" charset="0"/>
            <a:cs typeface="Arial" panose="020B0604020202020204" pitchFamily="34" charset="0"/>
          </a:endParaRPr>
        </a:p>
      </dgm:t>
    </dgm:pt>
    <dgm:pt modelId="{00E645FE-9E7A-43EE-8B06-987C66E22EC6}" type="sibTrans" cxnId="{99B85E91-29A2-4042-86CF-A20EBF102182}">
      <dgm:prSet/>
      <dgm:spPr/>
      <dgm:t>
        <a:bodyPr/>
        <a:lstStyle/>
        <a:p>
          <a:endParaRPr lang="en-US" sz="900">
            <a:latin typeface="Arial" panose="020B0604020202020204" pitchFamily="34" charset="0"/>
            <a:cs typeface="Arial" panose="020B0604020202020204" pitchFamily="34" charset="0"/>
          </a:endParaRPr>
        </a:p>
      </dgm:t>
    </dgm:pt>
    <dgm:pt modelId="{36D6E953-B048-4B48-A5F2-4CAC1D1B862E}">
      <dgm:prSet phldrT="[Text]" custT="1"/>
      <dgm:spPr>
        <a:ln>
          <a:solidFill>
            <a:schemeClr val="accent1">
              <a:lumMod val="75000"/>
              <a:alpha val="90000"/>
            </a:schemeClr>
          </a:solidFill>
        </a:ln>
      </dgm:spPr>
      <dgm:t>
        <a:bodyPr/>
        <a:lstStyle/>
        <a:p>
          <a:r>
            <a:rPr lang="en-US" sz="900">
              <a:latin typeface="Arial" panose="020B0604020202020204" pitchFamily="34" charset="0"/>
              <a:cs typeface="Arial" panose="020B0604020202020204" pitchFamily="34" charset="0"/>
            </a:rPr>
            <a:t>If assessed as having capacity end of process. If assessed as lacking capacity follow best interests process as below</a:t>
          </a:r>
        </a:p>
      </dgm:t>
    </dgm:pt>
    <dgm:pt modelId="{7C62D4D1-21F4-48DC-8A12-7DEB61CDD7C6}" type="parTrans" cxnId="{012C6C84-1931-4BAB-8E56-A6B0E305C832}">
      <dgm:prSet/>
      <dgm:spPr/>
      <dgm:t>
        <a:bodyPr/>
        <a:lstStyle/>
        <a:p>
          <a:endParaRPr lang="en-US" sz="900">
            <a:latin typeface="Arial" panose="020B0604020202020204" pitchFamily="34" charset="0"/>
            <a:cs typeface="Arial" panose="020B0604020202020204" pitchFamily="34" charset="0"/>
          </a:endParaRPr>
        </a:p>
      </dgm:t>
    </dgm:pt>
    <dgm:pt modelId="{A5B39CAD-E3E8-4020-9891-AF820C3B804C}" type="sibTrans" cxnId="{012C6C84-1931-4BAB-8E56-A6B0E305C832}">
      <dgm:prSet/>
      <dgm:spPr/>
      <dgm:t>
        <a:bodyPr/>
        <a:lstStyle/>
        <a:p>
          <a:endParaRPr lang="en-US" sz="900">
            <a:latin typeface="Arial" panose="020B0604020202020204" pitchFamily="34" charset="0"/>
            <a:cs typeface="Arial" panose="020B0604020202020204" pitchFamily="34" charset="0"/>
          </a:endParaRPr>
        </a:p>
      </dgm:t>
    </dgm:pt>
    <dgm:pt modelId="{A8F376A0-9A34-4AF5-8BC9-E16FE74F4060}">
      <dgm:prSet phldrT="[Text]" custT="1"/>
      <dgm:spPr>
        <a:ln>
          <a:solidFill>
            <a:schemeClr val="accent1">
              <a:lumMod val="75000"/>
              <a:alpha val="90000"/>
            </a:schemeClr>
          </a:solidFill>
        </a:ln>
      </dgm:spPr>
      <dgm:t>
        <a:bodyPr/>
        <a:lstStyle/>
        <a:p>
          <a:r>
            <a:rPr lang="en-US" sz="900">
              <a:latin typeface="Arial" panose="020B0604020202020204" pitchFamily="34" charset="0"/>
              <a:cs typeface="Arial" panose="020B0604020202020204" pitchFamily="34" charset="0"/>
            </a:rPr>
            <a:t>IMCA is instructed if unbefriended or if there is conflict with the family</a:t>
          </a:r>
        </a:p>
      </dgm:t>
    </dgm:pt>
    <dgm:pt modelId="{39DA534A-B809-4BC6-B1EF-6755E762CD99}" type="parTrans" cxnId="{79345EEB-9297-4BFF-8599-E7371FD61E43}">
      <dgm:prSet/>
      <dgm:spPr/>
      <dgm:t>
        <a:bodyPr/>
        <a:lstStyle/>
        <a:p>
          <a:endParaRPr lang="en-US" sz="900">
            <a:latin typeface="Arial" panose="020B0604020202020204" pitchFamily="34" charset="0"/>
            <a:cs typeface="Arial" panose="020B0604020202020204" pitchFamily="34" charset="0"/>
          </a:endParaRPr>
        </a:p>
      </dgm:t>
    </dgm:pt>
    <dgm:pt modelId="{4F2AF648-E62A-4762-A27B-D4F1BD032FA6}" type="sibTrans" cxnId="{79345EEB-9297-4BFF-8599-E7371FD61E43}">
      <dgm:prSet/>
      <dgm:spPr/>
      <dgm:t>
        <a:bodyPr/>
        <a:lstStyle/>
        <a:p>
          <a:endParaRPr lang="en-US" sz="900">
            <a:latin typeface="Arial" panose="020B0604020202020204" pitchFamily="34" charset="0"/>
            <a:cs typeface="Arial" panose="020B0604020202020204" pitchFamily="34" charset="0"/>
          </a:endParaRPr>
        </a:p>
      </dgm:t>
    </dgm:pt>
    <dgm:pt modelId="{A08CA18A-42B3-4D36-8AFA-87EFA583E184}">
      <dgm:prSet phldrT="[Text]" custT="1"/>
      <dgm:spPr>
        <a:ln>
          <a:solidFill>
            <a:schemeClr val="accent1">
              <a:lumMod val="75000"/>
              <a:alpha val="90000"/>
            </a:schemeClr>
          </a:solidFill>
        </a:ln>
      </dgm:spPr>
      <dgm:t>
        <a:bodyPr/>
        <a:lstStyle/>
        <a:p>
          <a:r>
            <a:rPr lang="en-US" sz="900">
              <a:solidFill>
                <a:sysClr val="windowText" lastClr="000000"/>
              </a:solidFill>
              <a:latin typeface="Arial" panose="020B0604020202020204" pitchFamily="34" charset="0"/>
              <a:cs typeface="Arial" panose="020B0604020202020204" pitchFamily="34" charset="0"/>
            </a:rPr>
            <a:t>If family involved support them to apply to Court of Protection (CoP)</a:t>
          </a:r>
        </a:p>
      </dgm:t>
    </dgm:pt>
    <dgm:pt modelId="{E9DBC9D2-C20F-46E2-AFA8-87FCC1771D15}" type="parTrans" cxnId="{A9CB8FB1-706D-450F-9A4C-9BC61AD85F22}">
      <dgm:prSet/>
      <dgm:spPr/>
      <dgm:t>
        <a:bodyPr/>
        <a:lstStyle/>
        <a:p>
          <a:endParaRPr lang="en-US" sz="900">
            <a:latin typeface="Arial" panose="020B0604020202020204" pitchFamily="34" charset="0"/>
            <a:cs typeface="Arial" panose="020B0604020202020204" pitchFamily="34" charset="0"/>
          </a:endParaRPr>
        </a:p>
      </dgm:t>
    </dgm:pt>
    <dgm:pt modelId="{35D6F057-C307-430E-862E-9678493430A1}" type="sibTrans" cxnId="{A9CB8FB1-706D-450F-9A4C-9BC61AD85F22}">
      <dgm:prSet/>
      <dgm:spPr/>
      <dgm:t>
        <a:bodyPr/>
        <a:lstStyle/>
        <a:p>
          <a:endParaRPr lang="en-US" sz="900">
            <a:latin typeface="Arial" panose="020B0604020202020204" pitchFamily="34" charset="0"/>
            <a:cs typeface="Arial" panose="020B0604020202020204" pitchFamily="34" charset="0"/>
          </a:endParaRPr>
        </a:p>
      </dgm:t>
    </dgm:pt>
    <dgm:pt modelId="{16ED0D37-B3B4-461F-811F-D4D77939399E}">
      <dgm:prSet phldrT="[Text]" custT="1"/>
      <dgm:spPr>
        <a:ln>
          <a:solidFill>
            <a:schemeClr val="accent1">
              <a:lumMod val="75000"/>
            </a:schemeClr>
          </a:solidFill>
        </a:ln>
      </dgm:spPr>
      <dgm:t>
        <a:bodyPr/>
        <a:lstStyle/>
        <a:p>
          <a:r>
            <a:rPr lang="en-US" sz="900">
              <a:latin typeface="Arial" panose="020B0604020202020204" pitchFamily="34" charset="0"/>
              <a:cs typeface="Arial" panose="020B0604020202020204" pitchFamily="34" charset="0"/>
            </a:rPr>
            <a:t>If the person does not have the above relevant staff/decision maker (LPA, Enduring Power of Attorney or deputy for finance ) complete forms: - CoP tenancies cover sheet; CoP1 application CoP 23 Witness statement; CoP3 assessment for capacity; CoP 44a remissions/exemptions (https://www.gov.uk/government/collections/court-of-protection-forms)</a:t>
          </a:r>
        </a:p>
      </dgm:t>
    </dgm:pt>
    <dgm:pt modelId="{E5E2651F-9B17-4F11-973D-A84BE77F8FA1}" type="parTrans" cxnId="{DDCA6C58-5904-418D-85BE-3E3FB13FA04E}">
      <dgm:prSet/>
      <dgm:spPr/>
      <dgm:t>
        <a:bodyPr/>
        <a:lstStyle/>
        <a:p>
          <a:endParaRPr lang="en-US" sz="900">
            <a:latin typeface="Arial" panose="020B0604020202020204" pitchFamily="34" charset="0"/>
            <a:cs typeface="Arial" panose="020B0604020202020204" pitchFamily="34" charset="0"/>
          </a:endParaRPr>
        </a:p>
      </dgm:t>
    </dgm:pt>
    <dgm:pt modelId="{91FC786C-1E5C-4C8A-88B5-B97286E0C561}" type="sibTrans" cxnId="{DDCA6C58-5904-418D-85BE-3E3FB13FA04E}">
      <dgm:prSet/>
      <dgm:spPr/>
      <dgm:t>
        <a:bodyPr/>
        <a:lstStyle/>
        <a:p>
          <a:endParaRPr lang="en-US" sz="900">
            <a:latin typeface="Arial" panose="020B0604020202020204" pitchFamily="34" charset="0"/>
            <a:cs typeface="Arial" panose="020B0604020202020204" pitchFamily="34" charset="0"/>
          </a:endParaRPr>
        </a:p>
      </dgm:t>
    </dgm:pt>
    <dgm:pt modelId="{6474557A-7017-4442-98D7-36CCAED36433}">
      <dgm:prSet phldrT="[Text]" custT="1"/>
      <dgm:spPr>
        <a:ln>
          <a:solidFill>
            <a:schemeClr val="accent1">
              <a:lumMod val="75000"/>
              <a:alpha val="90000"/>
            </a:schemeClr>
          </a:solidFill>
        </a:ln>
      </dgm:spPr>
      <dgm:t>
        <a:bodyPr/>
        <a:lstStyle/>
        <a:p>
          <a:r>
            <a:rPr lang="en-US" sz="900">
              <a:latin typeface="Arial" panose="020B0604020202020204" pitchFamily="34" charset="0"/>
              <a:cs typeface="Arial" panose="020B0604020202020204" pitchFamily="34" charset="0"/>
            </a:rPr>
            <a:t>Team manager signs off forms and forwards via email to CoP tenancy email address</a:t>
          </a:r>
        </a:p>
      </dgm:t>
    </dgm:pt>
    <dgm:pt modelId="{D56F1D22-31E2-486F-B549-131F0D8F9F5E}" type="parTrans" cxnId="{31C127F3-F529-4C57-AE51-921B24A5989C}">
      <dgm:prSet/>
      <dgm:spPr/>
      <dgm:t>
        <a:bodyPr/>
        <a:lstStyle/>
        <a:p>
          <a:endParaRPr lang="en-US" sz="900">
            <a:latin typeface="Arial" panose="020B0604020202020204" pitchFamily="34" charset="0"/>
            <a:cs typeface="Arial" panose="020B0604020202020204" pitchFamily="34" charset="0"/>
          </a:endParaRPr>
        </a:p>
      </dgm:t>
    </dgm:pt>
    <dgm:pt modelId="{A5738715-49D7-4E8B-9F82-A1AEA08595FC}" type="sibTrans" cxnId="{31C127F3-F529-4C57-AE51-921B24A5989C}">
      <dgm:prSet/>
      <dgm:spPr/>
      <dgm:t>
        <a:bodyPr/>
        <a:lstStyle/>
        <a:p>
          <a:endParaRPr lang="en-US" sz="900">
            <a:latin typeface="Arial" panose="020B0604020202020204" pitchFamily="34" charset="0"/>
            <a:cs typeface="Arial" panose="020B0604020202020204" pitchFamily="34" charset="0"/>
          </a:endParaRPr>
        </a:p>
      </dgm:t>
    </dgm:pt>
    <dgm:pt modelId="{7514087F-E2C0-4EA9-9D4F-18D815BB764B}">
      <dgm:prSet phldrT="[Text]" custT="1"/>
      <dgm:spPr>
        <a:ln>
          <a:solidFill>
            <a:schemeClr val="accent1">
              <a:lumMod val="75000"/>
              <a:alpha val="90000"/>
            </a:schemeClr>
          </a:solidFill>
        </a:ln>
      </dgm:spPr>
      <dgm:t>
        <a:bodyPr/>
        <a:lstStyle/>
        <a:p>
          <a:r>
            <a:rPr lang="en-US" sz="900">
              <a:latin typeface="Arial" panose="020B0604020202020204" pitchFamily="34" charset="0"/>
              <a:cs typeface="Arial" panose="020B0604020202020204" pitchFamily="34" charset="0"/>
            </a:rPr>
            <a:t>If the case is complex forward to legal</a:t>
          </a:r>
        </a:p>
      </dgm:t>
    </dgm:pt>
    <dgm:pt modelId="{11CEF05C-FAF7-4FA8-8588-CA4E388DCC1A}" type="parTrans" cxnId="{29D9FC1A-32A8-442D-9F65-BC6A62F20E36}">
      <dgm:prSet/>
      <dgm:spPr/>
      <dgm:t>
        <a:bodyPr/>
        <a:lstStyle/>
        <a:p>
          <a:endParaRPr lang="en-US" sz="900">
            <a:latin typeface="Arial" panose="020B0604020202020204" pitchFamily="34" charset="0"/>
            <a:cs typeface="Arial" panose="020B0604020202020204" pitchFamily="34" charset="0"/>
          </a:endParaRPr>
        </a:p>
      </dgm:t>
    </dgm:pt>
    <dgm:pt modelId="{CE6C9F37-F395-4CB2-BEFB-8ADBB75D42A9}" type="sibTrans" cxnId="{29D9FC1A-32A8-442D-9F65-BC6A62F20E36}">
      <dgm:prSet/>
      <dgm:spPr/>
      <dgm:t>
        <a:bodyPr/>
        <a:lstStyle/>
        <a:p>
          <a:endParaRPr lang="en-US" sz="900">
            <a:latin typeface="Arial" panose="020B0604020202020204" pitchFamily="34" charset="0"/>
            <a:cs typeface="Arial" panose="020B0604020202020204" pitchFamily="34" charset="0"/>
          </a:endParaRPr>
        </a:p>
      </dgm:t>
    </dgm:pt>
    <dgm:pt modelId="{90BAFD24-C761-44C9-BB03-BB1DF080E8E1}">
      <dgm:prSet phldrT="[Text]" custT="1"/>
      <dgm:spPr>
        <a:ln>
          <a:solidFill>
            <a:schemeClr val="accent1">
              <a:lumMod val="75000"/>
            </a:schemeClr>
          </a:solidFill>
        </a:ln>
      </dgm:spPr>
      <dgm:t>
        <a:bodyPr/>
        <a:lstStyle/>
        <a:p>
          <a:r>
            <a:rPr lang="en-US" sz="900">
              <a:solidFill>
                <a:schemeClr val="bg1"/>
              </a:solidFill>
              <a:latin typeface="Arial" panose="020B0604020202020204" pitchFamily="34" charset="0"/>
              <a:cs typeface="Arial" panose="020B0604020202020204" pitchFamily="34" charset="0"/>
            </a:rPr>
            <a:t>Legal services forward documents with covering letter and £365  fee to </a:t>
          </a:r>
          <a:r>
            <a:rPr lang="en-US" sz="900">
              <a:latin typeface="Arial" panose="020B0604020202020204" pitchFamily="34" charset="0"/>
              <a:cs typeface="Arial" panose="020B0604020202020204" pitchFamily="34" charset="0"/>
            </a:rPr>
            <a:t>the CoP asking for declaration that is in the person's best interests for the tenancy agreements to be signed or terminated on their behalf</a:t>
          </a:r>
        </a:p>
      </dgm:t>
    </dgm:pt>
    <dgm:pt modelId="{4FA69625-FA91-4119-B854-AB4368260A7F}" type="parTrans" cxnId="{A91B7C3C-3361-424D-83D9-292D30CBEDE2}">
      <dgm:prSet/>
      <dgm:spPr/>
      <dgm:t>
        <a:bodyPr/>
        <a:lstStyle/>
        <a:p>
          <a:endParaRPr lang="en-US" sz="900">
            <a:latin typeface="Arial" panose="020B0604020202020204" pitchFamily="34" charset="0"/>
            <a:cs typeface="Arial" panose="020B0604020202020204" pitchFamily="34" charset="0"/>
          </a:endParaRPr>
        </a:p>
      </dgm:t>
    </dgm:pt>
    <dgm:pt modelId="{F897D6E7-43DD-473E-AC9F-35B0572FD9E5}" type="sibTrans" cxnId="{A91B7C3C-3361-424D-83D9-292D30CBEDE2}">
      <dgm:prSet/>
      <dgm:spPr/>
      <dgm:t>
        <a:bodyPr/>
        <a:lstStyle/>
        <a:p>
          <a:endParaRPr lang="en-US" sz="900">
            <a:latin typeface="Arial" panose="020B0604020202020204" pitchFamily="34" charset="0"/>
            <a:cs typeface="Arial" panose="020B0604020202020204" pitchFamily="34" charset="0"/>
          </a:endParaRPr>
        </a:p>
      </dgm:t>
    </dgm:pt>
    <dgm:pt modelId="{BA728159-D20B-48B4-B124-ACAE07B3ED0A}">
      <dgm:prSet phldrT="[Text]" custT="1"/>
      <dgm:spPr>
        <a:ln>
          <a:solidFill>
            <a:schemeClr val="accent1">
              <a:lumMod val="75000"/>
            </a:schemeClr>
          </a:solidFill>
        </a:ln>
      </dgm:spPr>
      <dgm:t>
        <a:bodyPr/>
        <a:lstStyle/>
        <a:p>
          <a:r>
            <a:rPr lang="en-US" sz="900">
              <a:latin typeface="Arial" panose="020B0604020202020204" pitchFamily="34" charset="0"/>
              <a:cs typeface="Arial" panose="020B0604020202020204" pitchFamily="34" charset="0"/>
            </a:rPr>
            <a:t>CoP issues the application and on receipt the practitioner or suitable person issues CoP14 form and covering letter to person and interested parties explaining their rights to appeal the application within 14 days. The applicant</a:t>
          </a:r>
          <a:r>
            <a:rPr lang="en-US" sz="900">
              <a:solidFill>
                <a:srgbClr val="FF0000"/>
              </a:solidFill>
              <a:latin typeface="Arial" panose="020B0604020202020204" pitchFamily="34" charset="0"/>
              <a:cs typeface="Arial" panose="020B0604020202020204" pitchFamily="34" charset="0"/>
            </a:rPr>
            <a:t> </a:t>
          </a:r>
          <a:r>
            <a:rPr lang="en-US" sz="900">
              <a:latin typeface="Arial" panose="020B0604020202020204" pitchFamily="34" charset="0"/>
              <a:cs typeface="Arial" panose="020B0604020202020204" pitchFamily="34" charset="0"/>
            </a:rPr>
            <a:t>completes CoP20A and forwards to CoP</a:t>
          </a:r>
        </a:p>
      </dgm:t>
    </dgm:pt>
    <dgm:pt modelId="{77F04099-1E7B-45A3-BF31-0D3AFEBBF7DC}" type="parTrans" cxnId="{C17D6E69-8E44-4CE2-AAA9-A5155100ADD1}">
      <dgm:prSet/>
      <dgm:spPr/>
      <dgm:t>
        <a:bodyPr/>
        <a:lstStyle/>
        <a:p>
          <a:endParaRPr lang="en-US" sz="900">
            <a:latin typeface="Arial" panose="020B0604020202020204" pitchFamily="34" charset="0"/>
            <a:cs typeface="Arial" panose="020B0604020202020204" pitchFamily="34" charset="0"/>
          </a:endParaRPr>
        </a:p>
      </dgm:t>
    </dgm:pt>
    <dgm:pt modelId="{E019ACC7-1F81-4026-B4C3-B2B42A2B9ADE}" type="sibTrans" cxnId="{C17D6E69-8E44-4CE2-AAA9-A5155100ADD1}">
      <dgm:prSet/>
      <dgm:spPr/>
      <dgm:t>
        <a:bodyPr/>
        <a:lstStyle/>
        <a:p>
          <a:endParaRPr lang="en-US" sz="900">
            <a:latin typeface="Arial" panose="020B0604020202020204" pitchFamily="34" charset="0"/>
            <a:cs typeface="Arial" panose="020B0604020202020204" pitchFamily="34" charset="0"/>
          </a:endParaRPr>
        </a:p>
      </dgm:t>
    </dgm:pt>
    <dgm:pt modelId="{7861B49C-BDC4-4620-925E-933BE829D734}">
      <dgm:prSet phldrT="[Text]" custT="1"/>
      <dgm:spPr>
        <a:ln>
          <a:solidFill>
            <a:schemeClr val="accent1">
              <a:lumMod val="75000"/>
            </a:schemeClr>
          </a:solidFill>
        </a:ln>
      </dgm:spPr>
      <dgm:t>
        <a:bodyPr/>
        <a:lstStyle/>
        <a:p>
          <a:r>
            <a:rPr lang="en-US" sz="900">
              <a:latin typeface="Arial" panose="020B0604020202020204" pitchFamily="34" charset="0"/>
              <a:cs typeface="Arial" panose="020B0604020202020204" pitchFamily="34" charset="0"/>
            </a:rPr>
            <a:t>If the person does not appeal CoP issues court order after 14 days</a:t>
          </a:r>
        </a:p>
      </dgm:t>
    </dgm:pt>
    <dgm:pt modelId="{F6E4CFCE-F144-48EA-8829-1E958AF9FC0B}" type="parTrans" cxnId="{C2BD244D-1883-4EA8-B0F8-6AAD70A3608A}">
      <dgm:prSet/>
      <dgm:spPr/>
      <dgm:t>
        <a:bodyPr/>
        <a:lstStyle/>
        <a:p>
          <a:endParaRPr lang="en-US" sz="900">
            <a:latin typeface="Arial" panose="020B0604020202020204" pitchFamily="34" charset="0"/>
            <a:cs typeface="Arial" panose="020B0604020202020204" pitchFamily="34" charset="0"/>
          </a:endParaRPr>
        </a:p>
      </dgm:t>
    </dgm:pt>
    <dgm:pt modelId="{1219EA83-4458-4A45-8E1B-8DEA22680EB6}" type="sibTrans" cxnId="{C2BD244D-1883-4EA8-B0F8-6AAD70A3608A}">
      <dgm:prSet/>
      <dgm:spPr/>
      <dgm:t>
        <a:bodyPr/>
        <a:lstStyle/>
        <a:p>
          <a:endParaRPr lang="en-US" sz="900">
            <a:latin typeface="Arial" panose="020B0604020202020204" pitchFamily="34" charset="0"/>
            <a:cs typeface="Arial" panose="020B0604020202020204" pitchFamily="34" charset="0"/>
          </a:endParaRPr>
        </a:p>
      </dgm:t>
    </dgm:pt>
    <dgm:pt modelId="{51A9D623-98CA-46AA-9DCB-13B878F0CE81}">
      <dgm:prSet phldrT="[Text]" custT="1"/>
      <dgm:spPr>
        <a:ln>
          <a:solidFill>
            <a:schemeClr val="accent1">
              <a:lumMod val="75000"/>
            </a:schemeClr>
          </a:solidFill>
        </a:ln>
      </dgm:spPr>
      <dgm:t>
        <a:bodyPr/>
        <a:lstStyle/>
        <a:p>
          <a:r>
            <a:rPr lang="en-US" sz="900">
              <a:latin typeface="Arial" panose="020B0604020202020204" pitchFamily="34" charset="0"/>
              <a:cs typeface="Arial" panose="020B0604020202020204" pitchFamily="34" charset="0"/>
            </a:rPr>
            <a:t>The applicant forwards court order to the Adult Social Care Director who can sign or terminate tenancy agreement. </a:t>
          </a:r>
        </a:p>
      </dgm:t>
    </dgm:pt>
    <dgm:pt modelId="{AC59753B-208A-44BF-920C-B485AB4A0DC3}" type="parTrans" cxnId="{3CEF1D8F-9900-4D8B-8E99-80373AB88270}">
      <dgm:prSet/>
      <dgm:spPr/>
      <dgm:t>
        <a:bodyPr/>
        <a:lstStyle/>
        <a:p>
          <a:endParaRPr lang="en-US" sz="900">
            <a:latin typeface="Arial" panose="020B0604020202020204" pitchFamily="34" charset="0"/>
            <a:cs typeface="Arial" panose="020B0604020202020204" pitchFamily="34" charset="0"/>
          </a:endParaRPr>
        </a:p>
      </dgm:t>
    </dgm:pt>
    <dgm:pt modelId="{84C18D06-22A1-498A-873E-5AF1061437A9}" type="sibTrans" cxnId="{3CEF1D8F-9900-4D8B-8E99-80373AB88270}">
      <dgm:prSet/>
      <dgm:spPr/>
      <dgm:t>
        <a:bodyPr/>
        <a:lstStyle/>
        <a:p>
          <a:endParaRPr lang="en-US" sz="900">
            <a:latin typeface="Arial" panose="020B0604020202020204" pitchFamily="34" charset="0"/>
            <a:cs typeface="Arial" panose="020B0604020202020204" pitchFamily="34" charset="0"/>
          </a:endParaRPr>
        </a:p>
      </dgm:t>
    </dgm:pt>
    <dgm:pt modelId="{C82014E3-73A0-467A-837B-A68ADBAE6173}" type="pres">
      <dgm:prSet presAssocID="{E5CD5B5E-C2A9-4849-81C9-B3893EB3A43A}" presName="Name0" presStyleCnt="0">
        <dgm:presLayoutVars>
          <dgm:dir/>
          <dgm:animLvl val="lvl"/>
          <dgm:resizeHandles val="exact"/>
        </dgm:presLayoutVars>
      </dgm:prSet>
      <dgm:spPr/>
    </dgm:pt>
    <dgm:pt modelId="{0E4A3F43-5EBB-4F23-8450-BDE1FD04AAC8}" type="pres">
      <dgm:prSet presAssocID="{51A9D623-98CA-46AA-9DCB-13B878F0CE81}" presName="boxAndChildren" presStyleCnt="0"/>
      <dgm:spPr/>
    </dgm:pt>
    <dgm:pt modelId="{01D4D9D8-0F73-4A2C-9918-A60879DE29EB}" type="pres">
      <dgm:prSet presAssocID="{51A9D623-98CA-46AA-9DCB-13B878F0CE81}" presName="parentTextBox" presStyleLbl="node1" presStyleIdx="0" presStyleCnt="8"/>
      <dgm:spPr/>
    </dgm:pt>
    <dgm:pt modelId="{E71D73F9-DE85-4F29-B977-7892F1835022}" type="pres">
      <dgm:prSet presAssocID="{1219EA83-4458-4A45-8E1B-8DEA22680EB6}" presName="sp" presStyleCnt="0"/>
      <dgm:spPr/>
    </dgm:pt>
    <dgm:pt modelId="{A083BCC7-1303-4997-B735-8B9A488AFBB2}" type="pres">
      <dgm:prSet presAssocID="{7861B49C-BDC4-4620-925E-933BE829D734}" presName="arrowAndChildren" presStyleCnt="0"/>
      <dgm:spPr/>
    </dgm:pt>
    <dgm:pt modelId="{0DBCD2B2-BC8D-4FC5-90E9-245CA476F286}" type="pres">
      <dgm:prSet presAssocID="{7861B49C-BDC4-4620-925E-933BE829D734}" presName="parentTextArrow" presStyleLbl="node1" presStyleIdx="1" presStyleCnt="8"/>
      <dgm:spPr/>
    </dgm:pt>
    <dgm:pt modelId="{0010D885-D419-49B6-86DE-171202AA31F0}" type="pres">
      <dgm:prSet presAssocID="{E019ACC7-1F81-4026-B4C3-B2B42A2B9ADE}" presName="sp" presStyleCnt="0"/>
      <dgm:spPr/>
    </dgm:pt>
    <dgm:pt modelId="{296D2DC7-0BAB-4088-AE8C-1C2F0482E068}" type="pres">
      <dgm:prSet presAssocID="{BA728159-D20B-48B4-B124-ACAE07B3ED0A}" presName="arrowAndChildren" presStyleCnt="0"/>
      <dgm:spPr/>
    </dgm:pt>
    <dgm:pt modelId="{FBAB973A-4465-472D-B80A-A9CE6EFC3289}" type="pres">
      <dgm:prSet presAssocID="{BA728159-D20B-48B4-B124-ACAE07B3ED0A}" presName="parentTextArrow" presStyleLbl="node1" presStyleIdx="2" presStyleCnt="8"/>
      <dgm:spPr/>
    </dgm:pt>
    <dgm:pt modelId="{0BA4DAD7-BA19-4848-860C-1234B0E63497}" type="pres">
      <dgm:prSet presAssocID="{F897D6E7-43DD-473E-AC9F-35B0572FD9E5}" presName="sp" presStyleCnt="0"/>
      <dgm:spPr/>
    </dgm:pt>
    <dgm:pt modelId="{EEF1BF79-6D3F-4D88-95EE-0F4DE9A55A82}" type="pres">
      <dgm:prSet presAssocID="{90BAFD24-C761-44C9-BB03-BB1DF080E8E1}" presName="arrowAndChildren" presStyleCnt="0"/>
      <dgm:spPr/>
    </dgm:pt>
    <dgm:pt modelId="{07C5341D-3A6C-4EDE-AF08-3188B45852BC}" type="pres">
      <dgm:prSet presAssocID="{90BAFD24-C761-44C9-BB03-BB1DF080E8E1}" presName="parentTextArrow" presStyleLbl="node1" presStyleIdx="3" presStyleCnt="8"/>
      <dgm:spPr/>
    </dgm:pt>
    <dgm:pt modelId="{E594042E-8A8A-4DDB-AFA1-F4D64AEDBA72}" type="pres">
      <dgm:prSet presAssocID="{91FC786C-1E5C-4C8A-88B5-B97286E0C561}" presName="sp" presStyleCnt="0"/>
      <dgm:spPr/>
    </dgm:pt>
    <dgm:pt modelId="{9F112075-2F92-4055-A311-857F82BE06D8}" type="pres">
      <dgm:prSet presAssocID="{16ED0D37-B3B4-461F-811F-D4D77939399E}" presName="arrowAndChildren" presStyleCnt="0"/>
      <dgm:spPr/>
    </dgm:pt>
    <dgm:pt modelId="{C5EE66A0-CAEA-43B8-82DD-DCAB5A6D9FA4}" type="pres">
      <dgm:prSet presAssocID="{16ED0D37-B3B4-461F-811F-D4D77939399E}" presName="parentTextArrow" presStyleLbl="node1" presStyleIdx="3" presStyleCnt="8"/>
      <dgm:spPr/>
    </dgm:pt>
    <dgm:pt modelId="{E2471053-0557-4752-BCD5-DA7B0D356D8B}" type="pres">
      <dgm:prSet presAssocID="{16ED0D37-B3B4-461F-811F-D4D77939399E}" presName="arrow" presStyleLbl="node1" presStyleIdx="4" presStyleCnt="8" custScaleY="128498"/>
      <dgm:spPr/>
    </dgm:pt>
    <dgm:pt modelId="{CD034F38-C157-4F92-BD83-7BC661603BC9}" type="pres">
      <dgm:prSet presAssocID="{16ED0D37-B3B4-461F-811F-D4D77939399E}" presName="descendantArrow" presStyleCnt="0"/>
      <dgm:spPr/>
    </dgm:pt>
    <dgm:pt modelId="{F93ED9FC-F450-482F-969B-703EA2AF9AF4}" type="pres">
      <dgm:prSet presAssocID="{6474557A-7017-4442-98D7-36CCAED36433}" presName="childTextArrow" presStyleLbl="fgAccFollowNode1" presStyleIdx="0" presStyleCnt="5">
        <dgm:presLayoutVars>
          <dgm:bulletEnabled val="1"/>
        </dgm:presLayoutVars>
      </dgm:prSet>
      <dgm:spPr/>
    </dgm:pt>
    <dgm:pt modelId="{FCAA67C8-2D41-4BBB-991F-5C8DE627B626}" type="pres">
      <dgm:prSet presAssocID="{7514087F-E2C0-4EA9-9D4F-18D815BB764B}" presName="childTextArrow" presStyleLbl="fgAccFollowNode1" presStyleIdx="1" presStyleCnt="5">
        <dgm:presLayoutVars>
          <dgm:bulletEnabled val="1"/>
        </dgm:presLayoutVars>
      </dgm:prSet>
      <dgm:spPr/>
    </dgm:pt>
    <dgm:pt modelId="{59D44C8E-4170-4BB7-B9DC-33C55CAAD7CC}" type="pres">
      <dgm:prSet presAssocID="{00E645FE-9E7A-43EE-8B06-987C66E22EC6}" presName="sp" presStyleCnt="0"/>
      <dgm:spPr/>
    </dgm:pt>
    <dgm:pt modelId="{6D905B81-E5A6-4285-8E31-4CBA865E149E}" type="pres">
      <dgm:prSet presAssocID="{B770CAB3-FB8B-4F75-8CBD-02EE45DE3714}" presName="arrowAndChildren" presStyleCnt="0"/>
      <dgm:spPr/>
    </dgm:pt>
    <dgm:pt modelId="{A362364D-D116-4491-8851-109BFBD7BF7F}" type="pres">
      <dgm:prSet presAssocID="{B770CAB3-FB8B-4F75-8CBD-02EE45DE3714}" presName="parentTextArrow" presStyleLbl="node1" presStyleIdx="5" presStyleCnt="8"/>
      <dgm:spPr/>
    </dgm:pt>
    <dgm:pt modelId="{3DE09EF8-A734-4D7A-945F-4398966568DB}" type="pres">
      <dgm:prSet presAssocID="{6C53CFAE-907D-47D7-85C5-2773510F7F15}" presName="sp" presStyleCnt="0"/>
      <dgm:spPr/>
    </dgm:pt>
    <dgm:pt modelId="{7C0925EA-7156-4639-917A-2A2DE8D93FF5}" type="pres">
      <dgm:prSet presAssocID="{DD291B2E-BE7F-4D57-8564-C5CFA1940DE1}" presName="arrowAndChildren" presStyleCnt="0"/>
      <dgm:spPr/>
    </dgm:pt>
    <dgm:pt modelId="{9D9A4ABC-3A4E-4F39-9485-B77C386B8081}" type="pres">
      <dgm:prSet presAssocID="{DD291B2E-BE7F-4D57-8564-C5CFA1940DE1}" presName="parentTextArrow" presStyleLbl="node1" presStyleIdx="5" presStyleCnt="8"/>
      <dgm:spPr/>
    </dgm:pt>
    <dgm:pt modelId="{B06FD167-5FE9-4363-B10E-6964AAEFCD1C}" type="pres">
      <dgm:prSet presAssocID="{DD291B2E-BE7F-4D57-8564-C5CFA1940DE1}" presName="arrow" presStyleLbl="node1" presStyleIdx="6" presStyleCnt="8"/>
      <dgm:spPr/>
    </dgm:pt>
    <dgm:pt modelId="{0707CDC4-1CCA-4D37-8588-3A90C9D81ED9}" type="pres">
      <dgm:prSet presAssocID="{DD291B2E-BE7F-4D57-8564-C5CFA1940DE1}" presName="descendantArrow" presStyleCnt="0"/>
      <dgm:spPr/>
    </dgm:pt>
    <dgm:pt modelId="{8E982864-9380-4ECD-9678-C865E4AF86A2}" type="pres">
      <dgm:prSet presAssocID="{A8F376A0-9A34-4AF5-8BC9-E16FE74F4060}" presName="childTextArrow" presStyleLbl="fgAccFollowNode1" presStyleIdx="2" presStyleCnt="5">
        <dgm:presLayoutVars>
          <dgm:bulletEnabled val="1"/>
        </dgm:presLayoutVars>
      </dgm:prSet>
      <dgm:spPr/>
    </dgm:pt>
    <dgm:pt modelId="{19F6C11C-5FDF-4C23-BD8A-FE2F2C92B040}" type="pres">
      <dgm:prSet presAssocID="{A08CA18A-42B3-4D36-8AFA-87EFA583E184}" presName="childTextArrow" presStyleLbl="fgAccFollowNode1" presStyleIdx="3" presStyleCnt="5">
        <dgm:presLayoutVars>
          <dgm:bulletEnabled val="1"/>
        </dgm:presLayoutVars>
      </dgm:prSet>
      <dgm:spPr/>
    </dgm:pt>
    <dgm:pt modelId="{A655255F-9E7F-4615-8D31-D051E871768F}" type="pres">
      <dgm:prSet presAssocID="{A17E0160-0657-4473-B786-4894DC3725A3}" presName="sp" presStyleCnt="0"/>
      <dgm:spPr/>
    </dgm:pt>
    <dgm:pt modelId="{E975E215-789F-4F4D-B005-323F7AB26E5C}" type="pres">
      <dgm:prSet presAssocID="{E8DF5891-8602-4C65-BEB2-AC82892BA435}" presName="arrowAndChildren" presStyleCnt="0"/>
      <dgm:spPr/>
    </dgm:pt>
    <dgm:pt modelId="{C40FA5DC-2535-4868-8CE6-3F083ADBC1CF}" type="pres">
      <dgm:prSet presAssocID="{E8DF5891-8602-4C65-BEB2-AC82892BA435}" presName="parentTextArrow" presStyleLbl="node1" presStyleIdx="6" presStyleCnt="8"/>
      <dgm:spPr/>
    </dgm:pt>
    <dgm:pt modelId="{23C96FBB-4E43-4C1F-B65B-2FD4B3A64FC4}" type="pres">
      <dgm:prSet presAssocID="{E8DF5891-8602-4C65-BEB2-AC82892BA435}" presName="arrow" presStyleLbl="node1" presStyleIdx="7" presStyleCnt="8" custLinFactNeighborX="2" custLinFactNeighborY="-37"/>
      <dgm:spPr/>
    </dgm:pt>
    <dgm:pt modelId="{351E69A3-F599-4CB6-A4AD-43E5B315FC8E}" type="pres">
      <dgm:prSet presAssocID="{E8DF5891-8602-4C65-BEB2-AC82892BA435}" presName="descendantArrow" presStyleCnt="0"/>
      <dgm:spPr/>
    </dgm:pt>
    <dgm:pt modelId="{8A25AFEB-971A-4903-81B2-D7ABB053F562}" type="pres">
      <dgm:prSet presAssocID="{36D6E953-B048-4B48-A5F2-4CAC1D1B862E}" presName="childTextArrow" presStyleLbl="fgAccFollowNode1" presStyleIdx="4" presStyleCnt="5">
        <dgm:presLayoutVars>
          <dgm:bulletEnabled val="1"/>
        </dgm:presLayoutVars>
      </dgm:prSet>
      <dgm:spPr/>
    </dgm:pt>
  </dgm:ptLst>
  <dgm:cxnLst>
    <dgm:cxn modelId="{61C93602-791E-4770-BDBE-181070FC8270}" type="presOf" srcId="{E8DF5891-8602-4C65-BEB2-AC82892BA435}" destId="{23C96FBB-4E43-4C1F-B65B-2FD4B3A64FC4}" srcOrd="1" destOrd="0" presId="urn:microsoft.com/office/officeart/2005/8/layout/process4"/>
    <dgm:cxn modelId="{29D9FC1A-32A8-442D-9F65-BC6A62F20E36}" srcId="{16ED0D37-B3B4-461F-811F-D4D77939399E}" destId="{7514087F-E2C0-4EA9-9D4F-18D815BB764B}" srcOrd="1" destOrd="0" parTransId="{11CEF05C-FAF7-4FA8-8588-CA4E388DCC1A}" sibTransId="{CE6C9F37-F395-4CB2-BEFB-8ADBB75D42A9}"/>
    <dgm:cxn modelId="{91C3882C-6D54-48E7-8186-53B42EEA1267}" type="presOf" srcId="{6474557A-7017-4442-98D7-36CCAED36433}" destId="{F93ED9FC-F450-482F-969B-703EA2AF9AF4}" srcOrd="0" destOrd="0" presId="urn:microsoft.com/office/officeart/2005/8/layout/process4"/>
    <dgm:cxn modelId="{F4588135-8AE3-44CD-A034-C97D26BE14FD}" type="presOf" srcId="{7861B49C-BDC4-4620-925E-933BE829D734}" destId="{0DBCD2B2-BC8D-4FC5-90E9-245CA476F286}" srcOrd="0" destOrd="0" presId="urn:microsoft.com/office/officeart/2005/8/layout/process4"/>
    <dgm:cxn modelId="{A91B7C3C-3361-424D-83D9-292D30CBEDE2}" srcId="{E5CD5B5E-C2A9-4849-81C9-B3893EB3A43A}" destId="{90BAFD24-C761-44C9-BB03-BB1DF080E8E1}" srcOrd="4" destOrd="0" parTransId="{4FA69625-FA91-4119-B854-AB4368260A7F}" sibTransId="{F897D6E7-43DD-473E-AC9F-35B0572FD9E5}"/>
    <dgm:cxn modelId="{358ADE43-BD07-412E-B0EC-4A1DFB2444D7}" type="presOf" srcId="{A08CA18A-42B3-4D36-8AFA-87EFA583E184}" destId="{19F6C11C-5FDF-4C23-BD8A-FE2F2C92B040}" srcOrd="0" destOrd="0" presId="urn:microsoft.com/office/officeart/2005/8/layout/process4"/>
    <dgm:cxn modelId="{C17D6E69-8E44-4CE2-AAA9-A5155100ADD1}" srcId="{E5CD5B5E-C2A9-4849-81C9-B3893EB3A43A}" destId="{BA728159-D20B-48B4-B124-ACAE07B3ED0A}" srcOrd="5" destOrd="0" parTransId="{77F04099-1E7B-45A3-BF31-0D3AFEBBF7DC}" sibTransId="{E019ACC7-1F81-4026-B4C3-B2B42A2B9ADE}"/>
    <dgm:cxn modelId="{81B61A4A-6FD1-465E-B695-93FA739D5705}" type="presOf" srcId="{DD291B2E-BE7F-4D57-8564-C5CFA1940DE1}" destId="{9D9A4ABC-3A4E-4F39-9485-B77C386B8081}" srcOrd="0" destOrd="0" presId="urn:microsoft.com/office/officeart/2005/8/layout/process4"/>
    <dgm:cxn modelId="{C2BD244D-1883-4EA8-B0F8-6AAD70A3608A}" srcId="{E5CD5B5E-C2A9-4849-81C9-B3893EB3A43A}" destId="{7861B49C-BDC4-4620-925E-933BE829D734}" srcOrd="6" destOrd="0" parTransId="{F6E4CFCE-F144-48EA-8829-1E958AF9FC0B}" sibTransId="{1219EA83-4458-4A45-8E1B-8DEA22680EB6}"/>
    <dgm:cxn modelId="{A8B53652-D493-457B-81CD-1D4876379701}" type="presOf" srcId="{B770CAB3-FB8B-4F75-8CBD-02EE45DE3714}" destId="{A362364D-D116-4491-8851-109BFBD7BF7F}" srcOrd="0" destOrd="0" presId="urn:microsoft.com/office/officeart/2005/8/layout/process4"/>
    <dgm:cxn modelId="{DDCA6C58-5904-418D-85BE-3E3FB13FA04E}" srcId="{E5CD5B5E-C2A9-4849-81C9-B3893EB3A43A}" destId="{16ED0D37-B3B4-461F-811F-D4D77939399E}" srcOrd="3" destOrd="0" parTransId="{E5E2651F-9B17-4F11-973D-A84BE77F8FA1}" sibTransId="{91FC786C-1E5C-4C8A-88B5-B97286E0C561}"/>
    <dgm:cxn modelId="{85D8CA7C-957F-4538-889F-654D1C4A1470}" type="presOf" srcId="{7514087F-E2C0-4EA9-9D4F-18D815BB764B}" destId="{FCAA67C8-2D41-4BBB-991F-5C8DE627B626}" srcOrd="0" destOrd="0" presId="urn:microsoft.com/office/officeart/2005/8/layout/process4"/>
    <dgm:cxn modelId="{7E69FD7C-7013-4231-8A74-32F940482A3B}" type="presOf" srcId="{36D6E953-B048-4B48-A5F2-4CAC1D1B862E}" destId="{8A25AFEB-971A-4903-81B2-D7ABB053F562}" srcOrd="0" destOrd="0" presId="urn:microsoft.com/office/officeart/2005/8/layout/process4"/>
    <dgm:cxn modelId="{012C6C84-1931-4BAB-8E56-A6B0E305C832}" srcId="{E8DF5891-8602-4C65-BEB2-AC82892BA435}" destId="{36D6E953-B048-4B48-A5F2-4CAC1D1B862E}" srcOrd="0" destOrd="0" parTransId="{7C62D4D1-21F4-48DC-8A12-7DEB61CDD7C6}" sibTransId="{A5B39CAD-E3E8-4020-9891-AF820C3B804C}"/>
    <dgm:cxn modelId="{799E9B8A-ED4E-498E-8B9A-76D56706490A}" type="presOf" srcId="{16ED0D37-B3B4-461F-811F-D4D77939399E}" destId="{E2471053-0557-4752-BCD5-DA7B0D356D8B}" srcOrd="1" destOrd="0" presId="urn:microsoft.com/office/officeart/2005/8/layout/process4"/>
    <dgm:cxn modelId="{690A478C-8E08-4864-85AD-615E7E0E74D9}" type="presOf" srcId="{A8F376A0-9A34-4AF5-8BC9-E16FE74F4060}" destId="{8E982864-9380-4ECD-9678-C865E4AF86A2}" srcOrd="0" destOrd="0" presId="urn:microsoft.com/office/officeart/2005/8/layout/process4"/>
    <dgm:cxn modelId="{3CEF1D8F-9900-4D8B-8E99-80373AB88270}" srcId="{E5CD5B5E-C2A9-4849-81C9-B3893EB3A43A}" destId="{51A9D623-98CA-46AA-9DCB-13B878F0CE81}" srcOrd="7" destOrd="0" parTransId="{AC59753B-208A-44BF-920C-B485AB4A0DC3}" sibTransId="{84C18D06-22A1-498A-873E-5AF1061437A9}"/>
    <dgm:cxn modelId="{99B85E91-29A2-4042-86CF-A20EBF102182}" srcId="{E5CD5B5E-C2A9-4849-81C9-B3893EB3A43A}" destId="{B770CAB3-FB8B-4F75-8CBD-02EE45DE3714}" srcOrd="2" destOrd="0" parTransId="{948690B6-89B9-4BB3-B451-5FB7F5F2D143}" sibTransId="{00E645FE-9E7A-43EE-8B06-987C66E22EC6}"/>
    <dgm:cxn modelId="{71C1AE9D-0399-4A21-9F7F-7193C8B10D62}" type="presOf" srcId="{90BAFD24-C761-44C9-BB03-BB1DF080E8E1}" destId="{07C5341D-3A6C-4EDE-AF08-3188B45852BC}" srcOrd="0" destOrd="0" presId="urn:microsoft.com/office/officeart/2005/8/layout/process4"/>
    <dgm:cxn modelId="{B9F45BAF-EDDD-4C39-B17F-0C830BDCDB4B}" srcId="{E5CD5B5E-C2A9-4849-81C9-B3893EB3A43A}" destId="{DD291B2E-BE7F-4D57-8564-C5CFA1940DE1}" srcOrd="1" destOrd="0" parTransId="{CD76E3D3-5338-41FF-8A72-31097D0F5C86}" sibTransId="{6C53CFAE-907D-47D7-85C5-2773510F7F15}"/>
    <dgm:cxn modelId="{A9CB8FB1-706D-450F-9A4C-9BC61AD85F22}" srcId="{DD291B2E-BE7F-4D57-8564-C5CFA1940DE1}" destId="{A08CA18A-42B3-4D36-8AFA-87EFA583E184}" srcOrd="1" destOrd="0" parTransId="{E9DBC9D2-C20F-46E2-AFA8-87FCC1771D15}" sibTransId="{35D6F057-C307-430E-862E-9678493430A1}"/>
    <dgm:cxn modelId="{E2084CB6-B97E-442A-A415-2D125174A3AF}" srcId="{E5CD5B5E-C2A9-4849-81C9-B3893EB3A43A}" destId="{E8DF5891-8602-4C65-BEB2-AC82892BA435}" srcOrd="0" destOrd="0" parTransId="{949218F4-391D-4CF0-8A3F-FD7167AF1CF0}" sibTransId="{A17E0160-0657-4473-B786-4894DC3725A3}"/>
    <dgm:cxn modelId="{2EE72BC8-C491-4B59-8DBF-5EA859B633A4}" type="presOf" srcId="{16ED0D37-B3B4-461F-811F-D4D77939399E}" destId="{C5EE66A0-CAEA-43B8-82DD-DCAB5A6D9FA4}" srcOrd="0" destOrd="0" presId="urn:microsoft.com/office/officeart/2005/8/layout/process4"/>
    <dgm:cxn modelId="{12100FCB-868C-4541-B5DF-50093938B6DD}" type="presOf" srcId="{E5CD5B5E-C2A9-4849-81C9-B3893EB3A43A}" destId="{C82014E3-73A0-467A-837B-A68ADBAE6173}" srcOrd="0" destOrd="0" presId="urn:microsoft.com/office/officeart/2005/8/layout/process4"/>
    <dgm:cxn modelId="{9C4CADCF-A5BB-4B9F-92B8-112FAA14CB88}" type="presOf" srcId="{BA728159-D20B-48B4-B124-ACAE07B3ED0A}" destId="{FBAB973A-4465-472D-B80A-A9CE6EFC3289}" srcOrd="0" destOrd="0" presId="urn:microsoft.com/office/officeart/2005/8/layout/process4"/>
    <dgm:cxn modelId="{61AEBBDA-1922-40B9-B370-E61A875F3F63}" type="presOf" srcId="{51A9D623-98CA-46AA-9DCB-13B878F0CE81}" destId="{01D4D9D8-0F73-4A2C-9918-A60879DE29EB}" srcOrd="0" destOrd="0" presId="urn:microsoft.com/office/officeart/2005/8/layout/process4"/>
    <dgm:cxn modelId="{8DA0BCE7-5711-4CA4-A2FC-4EA00EF8DB45}" type="presOf" srcId="{E8DF5891-8602-4C65-BEB2-AC82892BA435}" destId="{C40FA5DC-2535-4868-8CE6-3F083ADBC1CF}" srcOrd="0" destOrd="0" presId="urn:microsoft.com/office/officeart/2005/8/layout/process4"/>
    <dgm:cxn modelId="{79345EEB-9297-4BFF-8599-E7371FD61E43}" srcId="{DD291B2E-BE7F-4D57-8564-C5CFA1940DE1}" destId="{A8F376A0-9A34-4AF5-8BC9-E16FE74F4060}" srcOrd="0" destOrd="0" parTransId="{39DA534A-B809-4BC6-B1EF-6755E762CD99}" sibTransId="{4F2AF648-E62A-4762-A27B-D4F1BD032FA6}"/>
    <dgm:cxn modelId="{9BAE77EB-BF3A-4332-AF15-589B5A01F2CC}" type="presOf" srcId="{DD291B2E-BE7F-4D57-8564-C5CFA1940DE1}" destId="{B06FD167-5FE9-4363-B10E-6964AAEFCD1C}" srcOrd="1" destOrd="0" presId="urn:microsoft.com/office/officeart/2005/8/layout/process4"/>
    <dgm:cxn modelId="{31C127F3-F529-4C57-AE51-921B24A5989C}" srcId="{16ED0D37-B3B4-461F-811F-D4D77939399E}" destId="{6474557A-7017-4442-98D7-36CCAED36433}" srcOrd="0" destOrd="0" parTransId="{D56F1D22-31E2-486F-B549-131F0D8F9F5E}" sibTransId="{A5738715-49D7-4E8B-9F82-A1AEA08595FC}"/>
    <dgm:cxn modelId="{1D0D1092-AD02-4F1F-B14C-C5F2A711FA09}" type="presParOf" srcId="{C82014E3-73A0-467A-837B-A68ADBAE6173}" destId="{0E4A3F43-5EBB-4F23-8450-BDE1FD04AAC8}" srcOrd="0" destOrd="0" presId="urn:microsoft.com/office/officeart/2005/8/layout/process4"/>
    <dgm:cxn modelId="{FEE8BBFA-56B4-4BE2-98E7-1152A6C3FB2D}" type="presParOf" srcId="{0E4A3F43-5EBB-4F23-8450-BDE1FD04AAC8}" destId="{01D4D9D8-0F73-4A2C-9918-A60879DE29EB}" srcOrd="0" destOrd="0" presId="urn:microsoft.com/office/officeart/2005/8/layout/process4"/>
    <dgm:cxn modelId="{E4A8DA40-CDE9-4B52-8C18-09D0DEFBC509}" type="presParOf" srcId="{C82014E3-73A0-467A-837B-A68ADBAE6173}" destId="{E71D73F9-DE85-4F29-B977-7892F1835022}" srcOrd="1" destOrd="0" presId="urn:microsoft.com/office/officeart/2005/8/layout/process4"/>
    <dgm:cxn modelId="{E66AAED5-23B0-47C2-B343-ED6FC5EBE740}" type="presParOf" srcId="{C82014E3-73A0-467A-837B-A68ADBAE6173}" destId="{A083BCC7-1303-4997-B735-8B9A488AFBB2}" srcOrd="2" destOrd="0" presId="urn:microsoft.com/office/officeart/2005/8/layout/process4"/>
    <dgm:cxn modelId="{EBE5E22A-482B-4BBB-98CE-05023E0963A3}" type="presParOf" srcId="{A083BCC7-1303-4997-B735-8B9A488AFBB2}" destId="{0DBCD2B2-BC8D-4FC5-90E9-245CA476F286}" srcOrd="0" destOrd="0" presId="urn:microsoft.com/office/officeart/2005/8/layout/process4"/>
    <dgm:cxn modelId="{99240143-155C-4400-834E-137B677AD931}" type="presParOf" srcId="{C82014E3-73A0-467A-837B-A68ADBAE6173}" destId="{0010D885-D419-49B6-86DE-171202AA31F0}" srcOrd="3" destOrd="0" presId="urn:microsoft.com/office/officeart/2005/8/layout/process4"/>
    <dgm:cxn modelId="{9A2F6A1D-8532-431A-8698-38BD89B57CBA}" type="presParOf" srcId="{C82014E3-73A0-467A-837B-A68ADBAE6173}" destId="{296D2DC7-0BAB-4088-AE8C-1C2F0482E068}" srcOrd="4" destOrd="0" presId="urn:microsoft.com/office/officeart/2005/8/layout/process4"/>
    <dgm:cxn modelId="{1208AD70-28B3-4683-86FA-165AAADBEEBA}" type="presParOf" srcId="{296D2DC7-0BAB-4088-AE8C-1C2F0482E068}" destId="{FBAB973A-4465-472D-B80A-A9CE6EFC3289}" srcOrd="0" destOrd="0" presId="urn:microsoft.com/office/officeart/2005/8/layout/process4"/>
    <dgm:cxn modelId="{89DBB802-9715-45F0-B6E6-39E52E0D3E07}" type="presParOf" srcId="{C82014E3-73A0-467A-837B-A68ADBAE6173}" destId="{0BA4DAD7-BA19-4848-860C-1234B0E63497}" srcOrd="5" destOrd="0" presId="urn:microsoft.com/office/officeart/2005/8/layout/process4"/>
    <dgm:cxn modelId="{E873CE28-33C0-4BD1-B430-569DD8B64BBA}" type="presParOf" srcId="{C82014E3-73A0-467A-837B-A68ADBAE6173}" destId="{EEF1BF79-6D3F-4D88-95EE-0F4DE9A55A82}" srcOrd="6" destOrd="0" presId="urn:microsoft.com/office/officeart/2005/8/layout/process4"/>
    <dgm:cxn modelId="{FA593174-7E7A-4F4B-9116-A9B368EA8917}" type="presParOf" srcId="{EEF1BF79-6D3F-4D88-95EE-0F4DE9A55A82}" destId="{07C5341D-3A6C-4EDE-AF08-3188B45852BC}" srcOrd="0" destOrd="0" presId="urn:microsoft.com/office/officeart/2005/8/layout/process4"/>
    <dgm:cxn modelId="{07D9B8DD-A725-4AC1-9A44-839844C2BD48}" type="presParOf" srcId="{C82014E3-73A0-467A-837B-A68ADBAE6173}" destId="{E594042E-8A8A-4DDB-AFA1-F4D64AEDBA72}" srcOrd="7" destOrd="0" presId="urn:microsoft.com/office/officeart/2005/8/layout/process4"/>
    <dgm:cxn modelId="{33728D39-CDED-4107-8F5D-2B72A8A57BE8}" type="presParOf" srcId="{C82014E3-73A0-467A-837B-A68ADBAE6173}" destId="{9F112075-2F92-4055-A311-857F82BE06D8}" srcOrd="8" destOrd="0" presId="urn:microsoft.com/office/officeart/2005/8/layout/process4"/>
    <dgm:cxn modelId="{778591BD-0605-494F-9E34-915DED941A04}" type="presParOf" srcId="{9F112075-2F92-4055-A311-857F82BE06D8}" destId="{C5EE66A0-CAEA-43B8-82DD-DCAB5A6D9FA4}" srcOrd="0" destOrd="0" presId="urn:microsoft.com/office/officeart/2005/8/layout/process4"/>
    <dgm:cxn modelId="{765C1E20-8379-41E9-B34D-0B8B7E310E34}" type="presParOf" srcId="{9F112075-2F92-4055-A311-857F82BE06D8}" destId="{E2471053-0557-4752-BCD5-DA7B0D356D8B}" srcOrd="1" destOrd="0" presId="urn:microsoft.com/office/officeart/2005/8/layout/process4"/>
    <dgm:cxn modelId="{AEA7FB66-9E7A-426C-9893-A4915A56FB75}" type="presParOf" srcId="{9F112075-2F92-4055-A311-857F82BE06D8}" destId="{CD034F38-C157-4F92-BD83-7BC661603BC9}" srcOrd="2" destOrd="0" presId="urn:microsoft.com/office/officeart/2005/8/layout/process4"/>
    <dgm:cxn modelId="{FF5D26E2-425A-4085-A658-E4C3CA6C5265}" type="presParOf" srcId="{CD034F38-C157-4F92-BD83-7BC661603BC9}" destId="{F93ED9FC-F450-482F-969B-703EA2AF9AF4}" srcOrd="0" destOrd="0" presId="urn:microsoft.com/office/officeart/2005/8/layout/process4"/>
    <dgm:cxn modelId="{DA124286-9A38-4673-A291-89E0D46EA72B}" type="presParOf" srcId="{CD034F38-C157-4F92-BD83-7BC661603BC9}" destId="{FCAA67C8-2D41-4BBB-991F-5C8DE627B626}" srcOrd="1" destOrd="0" presId="urn:microsoft.com/office/officeart/2005/8/layout/process4"/>
    <dgm:cxn modelId="{E55EC6EE-2059-4F17-BE2C-F6E4DCDBB35A}" type="presParOf" srcId="{C82014E3-73A0-467A-837B-A68ADBAE6173}" destId="{59D44C8E-4170-4BB7-B9DC-33C55CAAD7CC}" srcOrd="9" destOrd="0" presId="urn:microsoft.com/office/officeart/2005/8/layout/process4"/>
    <dgm:cxn modelId="{75C933E5-10E6-407A-AF3F-C3CE1EBF2FF7}" type="presParOf" srcId="{C82014E3-73A0-467A-837B-A68ADBAE6173}" destId="{6D905B81-E5A6-4285-8E31-4CBA865E149E}" srcOrd="10" destOrd="0" presId="urn:microsoft.com/office/officeart/2005/8/layout/process4"/>
    <dgm:cxn modelId="{152E7DE0-3E16-4C41-A5E3-406B2EBA5ADD}" type="presParOf" srcId="{6D905B81-E5A6-4285-8E31-4CBA865E149E}" destId="{A362364D-D116-4491-8851-109BFBD7BF7F}" srcOrd="0" destOrd="0" presId="urn:microsoft.com/office/officeart/2005/8/layout/process4"/>
    <dgm:cxn modelId="{1912DFC8-B9A6-49D1-B5C5-60638FD3F05B}" type="presParOf" srcId="{C82014E3-73A0-467A-837B-A68ADBAE6173}" destId="{3DE09EF8-A734-4D7A-945F-4398966568DB}" srcOrd="11" destOrd="0" presId="urn:microsoft.com/office/officeart/2005/8/layout/process4"/>
    <dgm:cxn modelId="{25824134-F6A9-4F59-8389-E60E750F569A}" type="presParOf" srcId="{C82014E3-73A0-467A-837B-A68ADBAE6173}" destId="{7C0925EA-7156-4639-917A-2A2DE8D93FF5}" srcOrd="12" destOrd="0" presId="urn:microsoft.com/office/officeart/2005/8/layout/process4"/>
    <dgm:cxn modelId="{F94B44F9-3164-446A-8B78-768007CE695C}" type="presParOf" srcId="{7C0925EA-7156-4639-917A-2A2DE8D93FF5}" destId="{9D9A4ABC-3A4E-4F39-9485-B77C386B8081}" srcOrd="0" destOrd="0" presId="urn:microsoft.com/office/officeart/2005/8/layout/process4"/>
    <dgm:cxn modelId="{871BB42B-C8DD-4DC6-A04D-A1E1854F8C44}" type="presParOf" srcId="{7C0925EA-7156-4639-917A-2A2DE8D93FF5}" destId="{B06FD167-5FE9-4363-B10E-6964AAEFCD1C}" srcOrd="1" destOrd="0" presId="urn:microsoft.com/office/officeart/2005/8/layout/process4"/>
    <dgm:cxn modelId="{EA5015CE-09FD-422A-AC60-D7105F5C0FFC}" type="presParOf" srcId="{7C0925EA-7156-4639-917A-2A2DE8D93FF5}" destId="{0707CDC4-1CCA-4D37-8588-3A90C9D81ED9}" srcOrd="2" destOrd="0" presId="urn:microsoft.com/office/officeart/2005/8/layout/process4"/>
    <dgm:cxn modelId="{3FB5C51A-88BA-4A9A-8CB3-3D8D5878C66F}" type="presParOf" srcId="{0707CDC4-1CCA-4D37-8588-3A90C9D81ED9}" destId="{8E982864-9380-4ECD-9678-C865E4AF86A2}" srcOrd="0" destOrd="0" presId="urn:microsoft.com/office/officeart/2005/8/layout/process4"/>
    <dgm:cxn modelId="{2AB87607-F46F-4625-835C-A781CC0A73FF}" type="presParOf" srcId="{0707CDC4-1CCA-4D37-8588-3A90C9D81ED9}" destId="{19F6C11C-5FDF-4C23-BD8A-FE2F2C92B040}" srcOrd="1" destOrd="0" presId="urn:microsoft.com/office/officeart/2005/8/layout/process4"/>
    <dgm:cxn modelId="{CA37A274-6587-413C-B8CA-AC2B819E3513}" type="presParOf" srcId="{C82014E3-73A0-467A-837B-A68ADBAE6173}" destId="{A655255F-9E7F-4615-8D31-D051E871768F}" srcOrd="13" destOrd="0" presId="urn:microsoft.com/office/officeart/2005/8/layout/process4"/>
    <dgm:cxn modelId="{C4950943-AC2D-440E-BD4F-33C3D2F15428}" type="presParOf" srcId="{C82014E3-73A0-467A-837B-A68ADBAE6173}" destId="{E975E215-789F-4F4D-B005-323F7AB26E5C}" srcOrd="14" destOrd="0" presId="urn:microsoft.com/office/officeart/2005/8/layout/process4"/>
    <dgm:cxn modelId="{EC3E19F3-E1E2-4A91-AA2E-066133283A31}" type="presParOf" srcId="{E975E215-789F-4F4D-B005-323F7AB26E5C}" destId="{C40FA5DC-2535-4868-8CE6-3F083ADBC1CF}" srcOrd="0" destOrd="0" presId="urn:microsoft.com/office/officeart/2005/8/layout/process4"/>
    <dgm:cxn modelId="{05FE6F7F-4DDF-4975-924D-49DEBC4CBB8C}" type="presParOf" srcId="{E975E215-789F-4F4D-B005-323F7AB26E5C}" destId="{23C96FBB-4E43-4C1F-B65B-2FD4B3A64FC4}" srcOrd="1" destOrd="0" presId="urn:microsoft.com/office/officeart/2005/8/layout/process4"/>
    <dgm:cxn modelId="{1043AA4E-5928-47CD-942F-91BE20B5CA8A}" type="presParOf" srcId="{E975E215-789F-4F4D-B005-323F7AB26E5C}" destId="{351E69A3-F599-4CB6-A4AD-43E5B315FC8E}" srcOrd="2" destOrd="0" presId="urn:microsoft.com/office/officeart/2005/8/layout/process4"/>
    <dgm:cxn modelId="{559192F4-1660-4E95-92CE-0C98A1913E71}" type="presParOf" srcId="{351E69A3-F599-4CB6-A4AD-43E5B315FC8E}" destId="{8A25AFEB-971A-4903-81B2-D7ABB053F562}"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4D9D8-0F73-4A2C-9918-A60879DE29EB}">
      <dsp:nvSpPr>
        <dsp:cNvPr id="0" name=""/>
        <dsp:cNvSpPr/>
      </dsp:nvSpPr>
      <dsp:spPr>
        <a:xfrm>
          <a:off x="0" y="7460141"/>
          <a:ext cx="5486400" cy="672092"/>
        </a:xfrm>
        <a:prstGeom prst="rect">
          <a:avLst/>
        </a:prstGeom>
        <a:solidFill>
          <a:schemeClr val="accent1">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The applicant forwards court order to the Adult Social Care Director who can sign or terminate tenancy agreement. </a:t>
          </a:r>
        </a:p>
      </dsp:txBody>
      <dsp:txXfrm>
        <a:off x="0" y="7460141"/>
        <a:ext cx="5486400" cy="672092"/>
      </dsp:txXfrm>
    </dsp:sp>
    <dsp:sp modelId="{0DBCD2B2-BC8D-4FC5-90E9-245CA476F286}">
      <dsp:nvSpPr>
        <dsp:cNvPr id="0" name=""/>
        <dsp:cNvSpPr/>
      </dsp:nvSpPr>
      <dsp:spPr>
        <a:xfrm rot="10800000">
          <a:off x="0" y="6436544"/>
          <a:ext cx="5486400" cy="1033678"/>
        </a:xfrm>
        <a:prstGeom prst="upArrowCallout">
          <a:avLst/>
        </a:prstGeom>
        <a:solidFill>
          <a:schemeClr val="accent1">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If the person does not appeal CoP issues court order after 14 days</a:t>
          </a:r>
        </a:p>
      </dsp:txBody>
      <dsp:txXfrm rot="10800000">
        <a:off x="0" y="6436544"/>
        <a:ext cx="5486400" cy="671653"/>
      </dsp:txXfrm>
    </dsp:sp>
    <dsp:sp modelId="{FBAB973A-4465-472D-B80A-A9CE6EFC3289}">
      <dsp:nvSpPr>
        <dsp:cNvPr id="0" name=""/>
        <dsp:cNvSpPr/>
      </dsp:nvSpPr>
      <dsp:spPr>
        <a:xfrm rot="10800000">
          <a:off x="0" y="5412947"/>
          <a:ext cx="5486400" cy="1033678"/>
        </a:xfrm>
        <a:prstGeom prst="upArrowCallout">
          <a:avLst/>
        </a:prstGeom>
        <a:solidFill>
          <a:schemeClr val="accent1">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CoP issues the application and on receipt the practitioner or suitable person issues CoP14 form and covering letter to person and interested parties explaining their rights to appeal the application within 14 days. The applicant</a:t>
          </a:r>
          <a:r>
            <a:rPr lang="en-US" sz="900" kern="1200">
              <a:solidFill>
                <a:srgbClr val="FF0000"/>
              </a:solidFill>
              <a:latin typeface="Arial" panose="020B0604020202020204" pitchFamily="34" charset="0"/>
              <a:cs typeface="Arial" panose="020B0604020202020204" pitchFamily="34" charset="0"/>
            </a:rPr>
            <a:t> </a:t>
          </a:r>
          <a:r>
            <a:rPr lang="en-US" sz="900" kern="1200">
              <a:latin typeface="Arial" panose="020B0604020202020204" pitchFamily="34" charset="0"/>
              <a:cs typeface="Arial" panose="020B0604020202020204" pitchFamily="34" charset="0"/>
            </a:rPr>
            <a:t>completes CoP20A and forwards to CoP</a:t>
          </a:r>
        </a:p>
      </dsp:txBody>
      <dsp:txXfrm rot="10800000">
        <a:off x="0" y="5412947"/>
        <a:ext cx="5486400" cy="671653"/>
      </dsp:txXfrm>
    </dsp:sp>
    <dsp:sp modelId="{07C5341D-3A6C-4EDE-AF08-3188B45852BC}">
      <dsp:nvSpPr>
        <dsp:cNvPr id="0" name=""/>
        <dsp:cNvSpPr/>
      </dsp:nvSpPr>
      <dsp:spPr>
        <a:xfrm rot="10800000">
          <a:off x="0" y="4389350"/>
          <a:ext cx="5486400" cy="1033678"/>
        </a:xfrm>
        <a:prstGeom prst="upArrowCallout">
          <a:avLst/>
        </a:prstGeom>
        <a:solidFill>
          <a:schemeClr val="accent1">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bg1"/>
              </a:solidFill>
              <a:latin typeface="Arial" panose="020B0604020202020204" pitchFamily="34" charset="0"/>
              <a:cs typeface="Arial" panose="020B0604020202020204" pitchFamily="34" charset="0"/>
            </a:rPr>
            <a:t>Legal services forward documents with covering letter and £365  fee to </a:t>
          </a:r>
          <a:r>
            <a:rPr lang="en-US" sz="900" kern="1200">
              <a:latin typeface="Arial" panose="020B0604020202020204" pitchFamily="34" charset="0"/>
              <a:cs typeface="Arial" panose="020B0604020202020204" pitchFamily="34" charset="0"/>
            </a:rPr>
            <a:t>the CoP asking for declaration that is in the person's best interests for the tenancy agreements to be signed or terminated on their behalf</a:t>
          </a:r>
        </a:p>
      </dsp:txBody>
      <dsp:txXfrm rot="10800000">
        <a:off x="0" y="4389350"/>
        <a:ext cx="5486400" cy="671653"/>
      </dsp:txXfrm>
    </dsp:sp>
    <dsp:sp modelId="{E2471053-0557-4752-BCD5-DA7B0D356D8B}">
      <dsp:nvSpPr>
        <dsp:cNvPr id="0" name=""/>
        <dsp:cNvSpPr/>
      </dsp:nvSpPr>
      <dsp:spPr>
        <a:xfrm rot="10800000">
          <a:off x="0" y="3071175"/>
          <a:ext cx="5486400" cy="1328256"/>
        </a:xfrm>
        <a:prstGeom prst="upArrowCallout">
          <a:avLst/>
        </a:prstGeom>
        <a:solidFill>
          <a:schemeClr val="accent1">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If the person does not have the above relevant staff/decision maker (LPA, Enduring Power of Attorney or deputy for finance ) complete forms: - CoP tenancies cover sheet; CoP1 application CoP 23 Witness statement; CoP3 assessment for capacity; CoP 44a remissions/exemptions (https://www.gov.uk/government/collections/court-of-protection-forms)</a:t>
          </a:r>
        </a:p>
      </dsp:txBody>
      <dsp:txXfrm rot="-10800000">
        <a:off x="0" y="3071175"/>
        <a:ext cx="5486400" cy="466217"/>
      </dsp:txXfrm>
    </dsp:sp>
    <dsp:sp modelId="{F93ED9FC-F450-482F-969B-703EA2AF9AF4}">
      <dsp:nvSpPr>
        <dsp:cNvPr id="0" name=""/>
        <dsp:cNvSpPr/>
      </dsp:nvSpPr>
      <dsp:spPr>
        <a:xfrm>
          <a:off x="0" y="3581285"/>
          <a:ext cx="2743199" cy="309069"/>
        </a:xfrm>
        <a:prstGeom prst="rect">
          <a:avLst/>
        </a:prstGeom>
        <a:solidFill>
          <a:schemeClr val="accent1">
            <a:alpha val="90000"/>
            <a:tint val="40000"/>
            <a:hueOff val="0"/>
            <a:satOff val="0"/>
            <a:lumOff val="0"/>
            <a:alphaOff val="0"/>
          </a:schemeClr>
        </a:solidFill>
        <a:ln w="12700" cap="flat" cmpd="sng" algn="ctr">
          <a:solidFill>
            <a:schemeClr val="accent1">
              <a:lumMod val="75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Team manager signs off forms and forwards via email to CoP tenancy email address</a:t>
          </a:r>
        </a:p>
      </dsp:txBody>
      <dsp:txXfrm>
        <a:off x="0" y="3581285"/>
        <a:ext cx="2743199" cy="309069"/>
      </dsp:txXfrm>
    </dsp:sp>
    <dsp:sp modelId="{FCAA67C8-2D41-4BBB-991F-5C8DE627B626}">
      <dsp:nvSpPr>
        <dsp:cNvPr id="0" name=""/>
        <dsp:cNvSpPr/>
      </dsp:nvSpPr>
      <dsp:spPr>
        <a:xfrm>
          <a:off x="2743200" y="3581285"/>
          <a:ext cx="2743199" cy="309069"/>
        </a:xfrm>
        <a:prstGeom prst="rect">
          <a:avLst/>
        </a:prstGeom>
        <a:solidFill>
          <a:schemeClr val="accent1">
            <a:alpha val="90000"/>
            <a:tint val="40000"/>
            <a:hueOff val="0"/>
            <a:satOff val="0"/>
            <a:lumOff val="0"/>
            <a:alphaOff val="0"/>
          </a:schemeClr>
        </a:solidFill>
        <a:ln w="12700" cap="flat" cmpd="sng" algn="ctr">
          <a:solidFill>
            <a:schemeClr val="accent1">
              <a:lumMod val="75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If the case is complex forward to legal</a:t>
          </a:r>
        </a:p>
      </dsp:txBody>
      <dsp:txXfrm>
        <a:off x="2743200" y="3581285"/>
        <a:ext cx="2743199" cy="309069"/>
      </dsp:txXfrm>
    </dsp:sp>
    <dsp:sp modelId="{A362364D-D116-4491-8851-109BFBD7BF7F}">
      <dsp:nvSpPr>
        <dsp:cNvPr id="0" name=""/>
        <dsp:cNvSpPr/>
      </dsp:nvSpPr>
      <dsp:spPr>
        <a:xfrm rot="10800000">
          <a:off x="0" y="2047578"/>
          <a:ext cx="5486400" cy="1033678"/>
        </a:xfrm>
        <a:prstGeom prst="upArrowCallout">
          <a:avLst/>
        </a:prstGeom>
        <a:solidFill>
          <a:schemeClr val="accent1">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If person has - a registered lasting power of attorney (LPA) or enduring power of attorney (EPA) or someone else authorised to sign by the CoP, </a:t>
          </a:r>
          <a:r>
            <a:rPr lang="en-US" sz="900" kern="1200">
              <a:solidFill>
                <a:schemeClr val="bg1"/>
              </a:solidFill>
              <a:latin typeface="Arial" panose="020B0604020202020204" pitchFamily="34" charset="0"/>
              <a:cs typeface="Arial" panose="020B0604020202020204" pitchFamily="34" charset="0"/>
            </a:rPr>
            <a:t>check</a:t>
          </a:r>
          <a:r>
            <a:rPr lang="en-US" sz="900" kern="1200">
              <a:latin typeface="Arial" panose="020B0604020202020204" pitchFamily="34" charset="0"/>
              <a:cs typeface="Arial" panose="020B0604020202020204" pitchFamily="34" charset="0"/>
            </a:rPr>
            <a:t> they can sign and end the tenancy. A deputy appointed by the court of protection may be able to sign to end the tenancy, however, please liaise with the person holding the deputy order for the best course of action</a:t>
          </a:r>
        </a:p>
      </dsp:txBody>
      <dsp:txXfrm rot="10800000">
        <a:off x="0" y="2047578"/>
        <a:ext cx="5486400" cy="671653"/>
      </dsp:txXfrm>
    </dsp:sp>
    <dsp:sp modelId="{B06FD167-5FE9-4363-B10E-6964AAEFCD1C}">
      <dsp:nvSpPr>
        <dsp:cNvPr id="0" name=""/>
        <dsp:cNvSpPr/>
      </dsp:nvSpPr>
      <dsp:spPr>
        <a:xfrm rot="10800000">
          <a:off x="0" y="1023981"/>
          <a:ext cx="5486400" cy="1033678"/>
        </a:xfrm>
        <a:prstGeom prst="upArrowCallout">
          <a:avLst/>
        </a:prstGeom>
        <a:solidFill>
          <a:schemeClr val="accent1">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Best interests meeting is conducted and outcome clearly identifies actions relating to decision on tenancy</a:t>
          </a:r>
        </a:p>
      </dsp:txBody>
      <dsp:txXfrm rot="-10800000">
        <a:off x="0" y="1023981"/>
        <a:ext cx="5486400" cy="362821"/>
      </dsp:txXfrm>
    </dsp:sp>
    <dsp:sp modelId="{8E982864-9380-4ECD-9678-C865E4AF86A2}">
      <dsp:nvSpPr>
        <dsp:cNvPr id="0" name=""/>
        <dsp:cNvSpPr/>
      </dsp:nvSpPr>
      <dsp:spPr>
        <a:xfrm>
          <a:off x="0" y="1386802"/>
          <a:ext cx="2743199" cy="309069"/>
        </a:xfrm>
        <a:prstGeom prst="rect">
          <a:avLst/>
        </a:prstGeom>
        <a:solidFill>
          <a:schemeClr val="accent1">
            <a:alpha val="90000"/>
            <a:tint val="40000"/>
            <a:hueOff val="0"/>
            <a:satOff val="0"/>
            <a:lumOff val="0"/>
            <a:alphaOff val="0"/>
          </a:schemeClr>
        </a:solidFill>
        <a:ln w="12700" cap="flat" cmpd="sng" algn="ctr">
          <a:solidFill>
            <a:schemeClr val="accent1">
              <a:lumMod val="75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IMCA is instructed if unbefriended or if there is conflict with the family</a:t>
          </a:r>
        </a:p>
      </dsp:txBody>
      <dsp:txXfrm>
        <a:off x="0" y="1386802"/>
        <a:ext cx="2743199" cy="309069"/>
      </dsp:txXfrm>
    </dsp:sp>
    <dsp:sp modelId="{19F6C11C-5FDF-4C23-BD8A-FE2F2C92B040}">
      <dsp:nvSpPr>
        <dsp:cNvPr id="0" name=""/>
        <dsp:cNvSpPr/>
      </dsp:nvSpPr>
      <dsp:spPr>
        <a:xfrm>
          <a:off x="2743200" y="1386802"/>
          <a:ext cx="2743199" cy="309069"/>
        </a:xfrm>
        <a:prstGeom prst="rect">
          <a:avLst/>
        </a:prstGeom>
        <a:solidFill>
          <a:schemeClr val="accent1">
            <a:alpha val="90000"/>
            <a:tint val="40000"/>
            <a:hueOff val="0"/>
            <a:satOff val="0"/>
            <a:lumOff val="0"/>
            <a:alphaOff val="0"/>
          </a:schemeClr>
        </a:solidFill>
        <a:ln w="12700" cap="flat" cmpd="sng" algn="ctr">
          <a:solidFill>
            <a:schemeClr val="accent1">
              <a:lumMod val="75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Arial" panose="020B0604020202020204" pitchFamily="34" charset="0"/>
              <a:cs typeface="Arial" panose="020B0604020202020204" pitchFamily="34" charset="0"/>
            </a:rPr>
            <a:t>If family involved support them to apply to Court of Protection (CoP)</a:t>
          </a:r>
        </a:p>
      </dsp:txBody>
      <dsp:txXfrm>
        <a:off x="2743200" y="1386802"/>
        <a:ext cx="2743199" cy="309069"/>
      </dsp:txXfrm>
    </dsp:sp>
    <dsp:sp modelId="{23C96FBB-4E43-4C1F-B65B-2FD4B3A64FC4}">
      <dsp:nvSpPr>
        <dsp:cNvPr id="0" name=""/>
        <dsp:cNvSpPr/>
      </dsp:nvSpPr>
      <dsp:spPr>
        <a:xfrm rot="10800000">
          <a:off x="0" y="1"/>
          <a:ext cx="5486400" cy="1033678"/>
        </a:xfrm>
        <a:prstGeom prst="upArrowCallout">
          <a:avLst/>
        </a:prstGeom>
        <a:solidFill>
          <a:schemeClr val="accent1">
            <a:hueOff val="0"/>
            <a:satOff val="0"/>
            <a:lumOff val="0"/>
            <a:alphaOff val="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Mental Capacity Assessment is completed for decisions related to whether the person can make a decision to sign or terminate their tenancy</a:t>
          </a:r>
        </a:p>
      </dsp:txBody>
      <dsp:txXfrm rot="-10800000">
        <a:off x="0" y="1"/>
        <a:ext cx="5486400" cy="362821"/>
      </dsp:txXfrm>
    </dsp:sp>
    <dsp:sp modelId="{8A25AFEB-971A-4903-81B2-D7ABB053F562}">
      <dsp:nvSpPr>
        <dsp:cNvPr id="0" name=""/>
        <dsp:cNvSpPr/>
      </dsp:nvSpPr>
      <dsp:spPr>
        <a:xfrm>
          <a:off x="0" y="363205"/>
          <a:ext cx="5486400" cy="309069"/>
        </a:xfrm>
        <a:prstGeom prst="rect">
          <a:avLst/>
        </a:prstGeom>
        <a:solidFill>
          <a:schemeClr val="accent1">
            <a:alpha val="90000"/>
            <a:tint val="40000"/>
            <a:hueOff val="0"/>
            <a:satOff val="0"/>
            <a:lumOff val="0"/>
            <a:alphaOff val="0"/>
          </a:schemeClr>
        </a:solidFill>
        <a:ln w="12700" cap="flat" cmpd="sng" algn="ctr">
          <a:solidFill>
            <a:schemeClr val="accent1">
              <a:lumMod val="75000"/>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If assessed as having capacity end of process. If assessed as lacking capacity follow best interests process as below</a:t>
          </a:r>
        </a:p>
      </dsp:txBody>
      <dsp:txXfrm>
        <a:off x="0" y="363205"/>
        <a:ext cx="5486400" cy="3090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14DD6E46F84943AA1A47DF5810C398" ma:contentTypeVersion="13" ma:contentTypeDescription="Create a new document." ma:contentTypeScope="" ma:versionID="14196ae0b8befba1c261ab3ce26d461c">
  <xsd:schema xmlns:xsd="http://www.w3.org/2001/XMLSchema" xmlns:xs="http://www.w3.org/2001/XMLSchema" xmlns:p="http://schemas.microsoft.com/office/2006/metadata/properties" xmlns:ns2="f58d0bfa-942c-4ffe-bc4c-a2745951bf1b" xmlns:ns3="a3d887fa-9e5c-4bf4-a98f-67c5f10555e3" targetNamespace="http://schemas.microsoft.com/office/2006/metadata/properties" ma:root="true" ma:fieldsID="b1519e4b76165b6d12fe5d0db5bf6880" ns2:_="" ns3:_="">
    <xsd:import namespace="f58d0bfa-942c-4ffe-bc4c-a2745951bf1b"/>
    <xsd:import namespace="a3d887fa-9e5c-4bf4-a98f-67c5f10555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d0bfa-942c-4ffe-bc4c-a2745951b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887fa-9e5c-4bf4-a98f-67c5f10555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9c7efd-fafe-49c2-85c9-584380b6ef83}" ma:internalName="TaxCatchAll" ma:showField="CatchAllData" ma:web="a3d887fa-9e5c-4bf4-a98f-67c5f10555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3d887fa-9e5c-4bf4-a98f-67c5f10555e3">
      <UserInfo>
        <DisplayName>Shallom Sithole</DisplayName>
        <AccountId>131</AccountId>
        <AccountType/>
      </UserInfo>
      <UserInfo>
        <DisplayName>Jamie Spencer</DisplayName>
        <AccountId>137</AccountId>
        <AccountType/>
      </UserInfo>
      <UserInfo>
        <DisplayName>Jessica Lawson</DisplayName>
        <AccountId>11</AccountId>
        <AccountType/>
      </UserInfo>
      <UserInfo>
        <DisplayName>Janet Lee</DisplayName>
        <AccountId>140</AccountId>
        <AccountType/>
      </UserInfo>
      <UserInfo>
        <DisplayName>Jo Adams</DisplayName>
        <AccountId>165</AccountId>
        <AccountType/>
      </UserInfo>
      <UserInfo>
        <DisplayName>Anna Derham</DisplayName>
        <AccountId>166</AccountId>
        <AccountType/>
      </UserInfo>
      <UserInfo>
        <DisplayName>Ros Alexander</DisplayName>
        <AccountId>167</AccountId>
        <AccountType/>
      </UserInfo>
      <UserInfo>
        <DisplayName>Penny Lee</DisplayName>
        <AccountId>168</AccountId>
        <AccountType/>
      </UserInfo>
      <UserInfo>
        <DisplayName>Sam Adams</DisplayName>
        <AccountId>170</AccountId>
        <AccountType/>
      </UserInfo>
      <UserInfo>
        <DisplayName>Lindsey Sefton</DisplayName>
        <AccountId>171</AccountId>
        <AccountType/>
      </UserInfo>
    </SharedWithUsers>
    <TaxCatchAll xmlns="a3d887fa-9e5c-4bf4-a98f-67c5f10555e3" xsi:nil="true"/>
    <lcf76f155ced4ddcb4097134ff3c332f xmlns="f58d0bfa-942c-4ffe-bc4c-a2745951bf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25DA-20AF-44BF-A474-FF74D585DFB0}">
  <ds:schemaRefs>
    <ds:schemaRef ds:uri="http://schemas.microsoft.com/sharepoint/v3/contenttype/forms"/>
  </ds:schemaRefs>
</ds:datastoreItem>
</file>

<file path=customXml/itemProps2.xml><?xml version="1.0" encoding="utf-8"?>
<ds:datastoreItem xmlns:ds="http://schemas.openxmlformats.org/officeDocument/2006/customXml" ds:itemID="{2634E84B-5CD3-4997-9A0F-961970AE1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d0bfa-942c-4ffe-bc4c-a2745951bf1b"/>
    <ds:schemaRef ds:uri="a3d887fa-9e5c-4bf4-a98f-67c5f1055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EACC5-EC73-43B2-B603-890FA92E1A4E}">
  <ds:schemaRefs>
    <ds:schemaRef ds:uri="http://schemas.openxmlformats.org/package/2006/metadata/core-properties"/>
    <ds:schemaRef ds:uri="f58d0bfa-942c-4ffe-bc4c-a2745951bf1b"/>
    <ds:schemaRef ds:uri="http://purl.org/dc/elements/1.1/"/>
    <ds:schemaRef ds:uri="http://schemas.microsoft.com/office/2006/metadata/properties"/>
    <ds:schemaRef ds:uri="a3d887fa-9e5c-4bf4-a98f-67c5f10555e3"/>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E4F54B8-B2A6-4048-9231-900F9122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FINAL Tenancy Guidance and Procedure</vt:lpstr>
    </vt:vector>
  </TitlesOfParts>
  <Company>London Borough of Camden</Company>
  <LinksUpToDate>false</LinksUpToDate>
  <CharactersWithSpaces>13884</CharactersWithSpaces>
  <SharedDoc>false</SharedDoc>
  <HLinks>
    <vt:vector size="132" baseType="variant">
      <vt:variant>
        <vt:i4>3538988</vt:i4>
      </vt:variant>
      <vt:variant>
        <vt:i4>105</vt:i4>
      </vt:variant>
      <vt:variant>
        <vt:i4>0</vt:i4>
      </vt:variant>
      <vt:variant>
        <vt:i4>5</vt:i4>
      </vt:variant>
      <vt:variant>
        <vt:lpwstr>http://www.guardianship.gov.uk/</vt:lpwstr>
      </vt:variant>
      <vt:variant>
        <vt:lpwstr/>
      </vt:variant>
      <vt:variant>
        <vt:i4>5701654</vt:i4>
      </vt:variant>
      <vt:variant>
        <vt:i4>102</vt:i4>
      </vt:variant>
      <vt:variant>
        <vt:i4>0</vt:i4>
      </vt:variant>
      <vt:variant>
        <vt:i4>5</vt:i4>
      </vt:variant>
      <vt:variant>
        <vt:lpwstr>https://www.legislation.gov.uk/ukpga/2005/9/contents</vt:lpwstr>
      </vt:variant>
      <vt:variant>
        <vt:lpwstr/>
      </vt:variant>
      <vt:variant>
        <vt:i4>5636111</vt:i4>
      </vt:variant>
      <vt:variant>
        <vt:i4>99</vt:i4>
      </vt:variant>
      <vt:variant>
        <vt:i4>0</vt:i4>
      </vt:variant>
      <vt:variant>
        <vt:i4>5</vt:i4>
      </vt:variant>
      <vt:variant>
        <vt:lpwstr>http://www.legislation.gov.uk/ukpga/2014/23/contents/enacted</vt:lpwstr>
      </vt:variant>
      <vt:variant>
        <vt:lpwstr/>
      </vt:variant>
      <vt:variant>
        <vt:i4>1704062</vt:i4>
      </vt:variant>
      <vt:variant>
        <vt:i4>96</vt:i4>
      </vt:variant>
      <vt:variant>
        <vt:i4>0</vt:i4>
      </vt:variant>
      <vt:variant>
        <vt:i4>5</vt:i4>
      </vt:variant>
      <vt:variant>
        <vt:lpwstr>https://england.shelter.org.uk/housing_advice/housing_benefit/housing_benefit_while_away_from_home</vt:lpwstr>
      </vt:variant>
      <vt:variant>
        <vt:lpwstr/>
      </vt:variant>
      <vt:variant>
        <vt:i4>524332</vt:i4>
      </vt:variant>
      <vt:variant>
        <vt:i4>93</vt:i4>
      </vt:variant>
      <vt:variant>
        <vt:i4>0</vt:i4>
      </vt:variant>
      <vt:variant>
        <vt:i4>5</vt:i4>
      </vt:variant>
      <vt:variant>
        <vt:lpwstr>mailto:courtofprotectionenquiries@hmcts.gsi.gov.uk</vt:lpwstr>
      </vt:variant>
      <vt:variant>
        <vt:lpwstr/>
      </vt:variant>
      <vt:variant>
        <vt:i4>7340077</vt:i4>
      </vt:variant>
      <vt:variant>
        <vt:i4>90</vt:i4>
      </vt:variant>
      <vt:variant>
        <vt:i4>0</vt:i4>
      </vt:variant>
      <vt:variant>
        <vt:i4>5</vt:i4>
      </vt:variant>
      <vt:variant>
        <vt:lpwstr>https://ascpractice.camden.gov.uk/what-matters-to-people/advocacy/referral-process/</vt:lpwstr>
      </vt:variant>
      <vt:variant>
        <vt:lpwstr>main</vt:lpwstr>
      </vt:variant>
      <vt:variant>
        <vt:i4>6815859</vt:i4>
      </vt:variant>
      <vt:variant>
        <vt:i4>87</vt:i4>
      </vt:variant>
      <vt:variant>
        <vt:i4>0</vt:i4>
      </vt:variant>
      <vt:variant>
        <vt:i4>5</vt:i4>
      </vt:variant>
      <vt:variant>
        <vt:lpwstr>https://ascpractice.camden.gov.uk/mental-capacity-and-dols-1/advocacy/</vt:lpwstr>
      </vt:variant>
      <vt:variant>
        <vt:lpwstr/>
      </vt:variant>
      <vt:variant>
        <vt:i4>1179716</vt:i4>
      </vt:variant>
      <vt:variant>
        <vt:i4>84</vt:i4>
      </vt:variant>
      <vt:variant>
        <vt:i4>0</vt:i4>
      </vt:variant>
      <vt:variant>
        <vt:i4>5</vt:i4>
      </vt:variant>
      <vt:variant>
        <vt:lpwstr>https://ascpractice.camden.gov.uk/connecting-people-to-support/housing-matters/tenancies/starting-a-tenancy/</vt:lpwstr>
      </vt:variant>
      <vt:variant>
        <vt:lpwstr>main</vt:lpwstr>
      </vt:variant>
      <vt:variant>
        <vt:i4>4325395</vt:i4>
      </vt:variant>
      <vt:variant>
        <vt:i4>81</vt:i4>
      </vt:variant>
      <vt:variant>
        <vt:i4>0</vt:i4>
      </vt:variant>
      <vt:variant>
        <vt:i4>5</vt:i4>
      </vt:variant>
      <vt:variant>
        <vt:lpwstr>https://www.camden.gov.uk/about-your-tenancy</vt:lpwstr>
      </vt:variant>
      <vt:variant>
        <vt:lpwstr/>
      </vt:variant>
      <vt:variant>
        <vt:i4>1507383</vt:i4>
      </vt:variant>
      <vt:variant>
        <vt:i4>74</vt:i4>
      </vt:variant>
      <vt:variant>
        <vt:i4>0</vt:i4>
      </vt:variant>
      <vt:variant>
        <vt:i4>5</vt:i4>
      </vt:variant>
      <vt:variant>
        <vt:lpwstr/>
      </vt:variant>
      <vt:variant>
        <vt:lpwstr>_Toc62550047</vt:lpwstr>
      </vt:variant>
      <vt:variant>
        <vt:i4>1441847</vt:i4>
      </vt:variant>
      <vt:variant>
        <vt:i4>68</vt:i4>
      </vt:variant>
      <vt:variant>
        <vt:i4>0</vt:i4>
      </vt:variant>
      <vt:variant>
        <vt:i4>5</vt:i4>
      </vt:variant>
      <vt:variant>
        <vt:lpwstr/>
      </vt:variant>
      <vt:variant>
        <vt:lpwstr>_Toc62550046</vt:lpwstr>
      </vt:variant>
      <vt:variant>
        <vt:i4>1376311</vt:i4>
      </vt:variant>
      <vt:variant>
        <vt:i4>62</vt:i4>
      </vt:variant>
      <vt:variant>
        <vt:i4>0</vt:i4>
      </vt:variant>
      <vt:variant>
        <vt:i4>5</vt:i4>
      </vt:variant>
      <vt:variant>
        <vt:lpwstr/>
      </vt:variant>
      <vt:variant>
        <vt:lpwstr>_Toc62550045</vt:lpwstr>
      </vt:variant>
      <vt:variant>
        <vt:i4>1310775</vt:i4>
      </vt:variant>
      <vt:variant>
        <vt:i4>56</vt:i4>
      </vt:variant>
      <vt:variant>
        <vt:i4>0</vt:i4>
      </vt:variant>
      <vt:variant>
        <vt:i4>5</vt:i4>
      </vt:variant>
      <vt:variant>
        <vt:lpwstr/>
      </vt:variant>
      <vt:variant>
        <vt:lpwstr>_Toc62550044</vt:lpwstr>
      </vt:variant>
      <vt:variant>
        <vt:i4>1245239</vt:i4>
      </vt:variant>
      <vt:variant>
        <vt:i4>50</vt:i4>
      </vt:variant>
      <vt:variant>
        <vt:i4>0</vt:i4>
      </vt:variant>
      <vt:variant>
        <vt:i4>5</vt:i4>
      </vt:variant>
      <vt:variant>
        <vt:lpwstr/>
      </vt:variant>
      <vt:variant>
        <vt:lpwstr>_Toc62550043</vt:lpwstr>
      </vt:variant>
      <vt:variant>
        <vt:i4>1179703</vt:i4>
      </vt:variant>
      <vt:variant>
        <vt:i4>44</vt:i4>
      </vt:variant>
      <vt:variant>
        <vt:i4>0</vt:i4>
      </vt:variant>
      <vt:variant>
        <vt:i4>5</vt:i4>
      </vt:variant>
      <vt:variant>
        <vt:lpwstr/>
      </vt:variant>
      <vt:variant>
        <vt:lpwstr>_Toc62550042</vt:lpwstr>
      </vt:variant>
      <vt:variant>
        <vt:i4>1114167</vt:i4>
      </vt:variant>
      <vt:variant>
        <vt:i4>38</vt:i4>
      </vt:variant>
      <vt:variant>
        <vt:i4>0</vt:i4>
      </vt:variant>
      <vt:variant>
        <vt:i4>5</vt:i4>
      </vt:variant>
      <vt:variant>
        <vt:lpwstr/>
      </vt:variant>
      <vt:variant>
        <vt:lpwstr>_Toc62550041</vt:lpwstr>
      </vt:variant>
      <vt:variant>
        <vt:i4>1048631</vt:i4>
      </vt:variant>
      <vt:variant>
        <vt:i4>32</vt:i4>
      </vt:variant>
      <vt:variant>
        <vt:i4>0</vt:i4>
      </vt:variant>
      <vt:variant>
        <vt:i4>5</vt:i4>
      </vt:variant>
      <vt:variant>
        <vt:lpwstr/>
      </vt:variant>
      <vt:variant>
        <vt:lpwstr>_Toc62550040</vt:lpwstr>
      </vt:variant>
      <vt:variant>
        <vt:i4>1638448</vt:i4>
      </vt:variant>
      <vt:variant>
        <vt:i4>26</vt:i4>
      </vt:variant>
      <vt:variant>
        <vt:i4>0</vt:i4>
      </vt:variant>
      <vt:variant>
        <vt:i4>5</vt:i4>
      </vt:variant>
      <vt:variant>
        <vt:lpwstr/>
      </vt:variant>
      <vt:variant>
        <vt:lpwstr>_Toc62550039</vt:lpwstr>
      </vt:variant>
      <vt:variant>
        <vt:i4>1572912</vt:i4>
      </vt:variant>
      <vt:variant>
        <vt:i4>20</vt:i4>
      </vt:variant>
      <vt:variant>
        <vt:i4>0</vt:i4>
      </vt:variant>
      <vt:variant>
        <vt:i4>5</vt:i4>
      </vt:variant>
      <vt:variant>
        <vt:lpwstr/>
      </vt:variant>
      <vt:variant>
        <vt:lpwstr>_Toc62550038</vt:lpwstr>
      </vt:variant>
      <vt:variant>
        <vt:i4>1507376</vt:i4>
      </vt:variant>
      <vt:variant>
        <vt:i4>14</vt:i4>
      </vt:variant>
      <vt:variant>
        <vt:i4>0</vt:i4>
      </vt:variant>
      <vt:variant>
        <vt:i4>5</vt:i4>
      </vt:variant>
      <vt:variant>
        <vt:lpwstr/>
      </vt:variant>
      <vt:variant>
        <vt:lpwstr>_Toc62550037</vt:lpwstr>
      </vt:variant>
      <vt:variant>
        <vt:i4>1441840</vt:i4>
      </vt:variant>
      <vt:variant>
        <vt:i4>8</vt:i4>
      </vt:variant>
      <vt:variant>
        <vt:i4>0</vt:i4>
      </vt:variant>
      <vt:variant>
        <vt:i4>5</vt:i4>
      </vt:variant>
      <vt:variant>
        <vt:lpwstr/>
      </vt:variant>
      <vt:variant>
        <vt:lpwstr>_Toc62550036</vt:lpwstr>
      </vt:variant>
      <vt:variant>
        <vt:i4>1376304</vt:i4>
      </vt:variant>
      <vt:variant>
        <vt:i4>2</vt:i4>
      </vt:variant>
      <vt:variant>
        <vt:i4>0</vt:i4>
      </vt:variant>
      <vt:variant>
        <vt:i4>5</vt:i4>
      </vt:variant>
      <vt:variant>
        <vt:lpwstr/>
      </vt:variant>
      <vt:variant>
        <vt:lpwstr>_Toc62550035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Tenancy Guidance and Procedure</dc:title>
  <dc:subject/>
  <dc:creator>Iqbal, Sadia</dc:creator>
  <cp:keywords/>
  <dc:description/>
  <cp:lastModifiedBy>Fung-Yee Lee</cp:lastModifiedBy>
  <cp:revision>2</cp:revision>
  <cp:lastPrinted>2018-11-22T10:08:00Z</cp:lastPrinted>
  <dcterms:created xsi:type="dcterms:W3CDTF">2025-02-03T16:28:00Z</dcterms:created>
  <dcterms:modified xsi:type="dcterms:W3CDTF">2025-02-03T16:28:00Z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0x0101009C14DD6E46F84943AA1A47DF5810C398</vt:lpwstr>
  </property>
  <property fmtid="{D5CDD505-2E9C-101B-9397-08002B2CF9AE}" pid="3" name="Category">
    <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